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Raleway" w:cs="Raleway" w:eastAsia="Raleway" w:hAnsi="Raleway"/>
          <w:b w:val="1"/>
          <w:bCs w:val="1"/>
          <w:color w:val="000000"/>
        </w:rPr>
      </w:pPr>
      <w:r w:rsidDel="00000000" w:rsidR="00000000" w:rsidRPr="00000000">
        <w:rPr>
          <w:rFonts w:ascii="NewsGoth BT" w:cs="NewsGoth BT" w:eastAsia="NewsGoth BT" w:hAnsi="NewsGoth BT"/>
          <w:color w:val="000000"/>
          <w:sz w:val="24"/>
          <w:szCs w:val="24"/>
        </w:rPr>
        <w:drawing>
          <wp:inline distB="0" distT="0" distL="0" distR="0">
            <wp:extent cx="1136630" cy="971879"/>
            <wp:effectExtent b="0" l="0" r="0" t="0"/>
            <wp:docPr id="3506348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6630" cy="971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Raleway" w:cs="Raleway" w:eastAsia="Raleway" w:hAnsi="Raleway"/>
          <w:color w:val="00000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Comunicato stampa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                                                                                            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Roma, 19 marzo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Raleway" w:cs="Raleway" w:eastAsia="Raleway" w:hAnsi="Ralew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Raleway" w:cs="Raleway" w:eastAsia="Raleway" w:hAnsi="Raleway"/>
          <w:color w:val="00000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Verso la Giornata mondiale dell’acqua: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313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€ la spesa media in V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alle D’Aosta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 nel 2025, in aumento d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i quasi il 15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% rispetto al 2024.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La dispersione idrica si attesta al 35,5%.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Raleway" w:cs="Raleway" w:eastAsia="Raleway" w:hAnsi="Raleway"/>
          <w:color w:val="00000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I nuovi dati del XXI Rapporto di Cittadinanzattiva sul servizio idrico integrato.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Raleway" w:cs="Raleway" w:eastAsia="Raleway" w:hAnsi="Ralew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aleway" w:cs="Raleway" w:eastAsia="Raleway" w:hAnsi="Raleway"/>
          <w:color w:val="000000"/>
        </w:rPr>
      </w:pP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Si attesta a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313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€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 la spesa media sostenuta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ad Aosta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 nel 2025 per la bolletta idrica (nell'ipotesi di consumo 182 mc/anno),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con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 un aumento del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+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14,8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%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 rispetto al 2024. A livello nazionale, la spesa media è di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528€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 a famiglia, con un incremento del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+5,4%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 rispetto all'anno precedente.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Raleway" w:cs="Raleway" w:eastAsia="Raleway" w:hAnsi="Raleway"/>
          <w:color w:val="000000"/>
        </w:rPr>
      </w:pP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La regione in cui si spende meno è il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Molise (€274)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, che registra però l'aumento più consistente a livello regionale con il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+17,5%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 rispetto al 2024. Al contrario, la regione con la spesa più elevata resta la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Toscana (€770)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, dove l'aumento medio è del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+2,9%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Raleway" w:cs="Raleway" w:eastAsia="Raleway" w:hAnsi="Raleway"/>
          <w:color w:val="00000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Frosinone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 resta in testa alla classifica dei capoluoghi di provincia più cari con una spesa media annuale di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973€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, mentre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Milano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 si conferma il capoluogo più economico con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203€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. Fra i capoluoghi di provincia, gli aumenti più consistenti si registrano a Reggio di Calabria (+19,4%) e Crotone (+19,2%)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Raleway" w:cs="Raleway" w:eastAsia="Raleway" w:hAnsi="Raleway"/>
          <w:color w:val="000000"/>
        </w:rPr>
      </w:pP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In base agli ultimi dati Istat (anno 2022), la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dispersione idrica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 raggiunge il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42,4%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 nel territorio complessivo italiano.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Ad Aosta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, la dispersione idrica media è del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35,5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Raleway" w:cs="Raleway" w:eastAsia="Raleway" w:hAnsi="Raleway"/>
          <w:b w:val="1"/>
          <w:bCs w:val="1"/>
          <w:color w:val="000000"/>
        </w:rPr>
      </w:pP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La fotografia emerge dal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XXI Rapporto sul servizio idrico integrato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, a cura dell’Osservatorio Prezzi e Tariffe di Cittadinanzattiva. Il Rapporto ha preso in esame le tariffe per il servizio idrico integrato applicate in tutti i capoluoghi di provincia italiani nel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2025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 in riferimento ad una famiglia tipo composta da 3 persone e un consumo annuo di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182 metri cubi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. Se ci attestiamo su un consumo di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150 mc l’anno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, la spesa media nazionale sarebbe di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€415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 con un risparmio di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€113</w:t>
      </w:r>
      <w:r w:rsidDel="00000000" w:rsidR="00000000" w:rsidRPr="00000000">
        <w:rPr>
          <w:rFonts w:ascii="Raleway" w:cs="Raleway" w:eastAsia="Raleway" w:hAnsi="Raleway"/>
          <w:color w:val="000000"/>
          <w:rtl w:val="0"/>
        </w:rPr>
        <w:t xml:space="preserve">. Il risparmio medio annuo garantito dal bonus sociale idrico si attesta sui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115€</w:t>
      </w:r>
    </w:p>
    <w:p w:rsidR="00000000" w:rsidDel="00000000" w:rsidP="00000000" w:rsidRDefault="00000000" w:rsidRPr="00000000" w14:paraId="0000000C">
      <w:pPr>
        <w:keepNext w:val="1"/>
        <w:keepLines w:val="1"/>
        <w:widowControl w:val="0"/>
        <w:spacing w:after="0" w:before="0" w:line="240" w:lineRule="auto"/>
        <w:jc w:val="both"/>
        <w:rPr>
          <w:rFonts w:ascii="Raleway" w:cs="Raleway" w:eastAsia="Raleway" w:hAnsi="Raleway"/>
          <w:b w:val="1"/>
          <w:bCs w:val="1"/>
          <w:color w:val="404040"/>
          <w:sz w:val="17"/>
          <w:szCs w:val="17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0"/>
        <w:gridCol w:w="1245"/>
        <w:gridCol w:w="1245"/>
        <w:gridCol w:w="1245"/>
        <w:gridCol w:w="1245"/>
        <w:gridCol w:w="1245"/>
        <w:gridCol w:w="1905"/>
        <w:tblGridChange w:id="0">
          <w:tblGrid>
            <w:gridCol w:w="1410"/>
            <w:gridCol w:w="1245"/>
            <w:gridCol w:w="1245"/>
            <w:gridCol w:w="1245"/>
            <w:gridCol w:w="1245"/>
            <w:gridCol w:w="1245"/>
            <w:gridCol w:w="190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c0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Capoluogo</w:t>
            </w:r>
          </w:p>
        </w:tc>
        <w:tc>
          <w:tcPr>
            <w:gridSpan w:val="2"/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c0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Ipotesi A (182 mc)</w:t>
            </w:r>
          </w:p>
        </w:tc>
        <w:tc>
          <w:tcPr>
            <w:gridSpan w:val="2"/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c0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Ipotesi B (150 mc)</w:t>
            </w:r>
          </w:p>
        </w:tc>
        <w:tc>
          <w:tcPr>
            <w:gridSpan w:val="2"/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c0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Risparmio (A-B)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widowControl w:val="0"/>
              <w:spacing w:after="0" w:line="240" w:lineRule="auto"/>
              <w:jc w:val="both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c0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Spesa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c0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Var. su 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c0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Spesa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c0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Var. su 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c0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In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c0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In %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404040" w:space="0" w:sz="5" w:val="single"/>
              <w:bottom w:color="404040" w:space="0" w:sz="5" w:val="single"/>
              <w:right w:color="40404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Aosta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04040" w:space="0" w:sz="5" w:val="single"/>
              <w:right w:color="40404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313 €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04040" w:space="0" w:sz="5" w:val="single"/>
              <w:right w:color="40404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14,8%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04040" w:space="0" w:sz="5" w:val="single"/>
              <w:right w:color="40404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252 €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04040" w:space="0" w:sz="5" w:val="single"/>
              <w:right w:color="40404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15,5%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04040" w:space="0" w:sz="5" w:val="single"/>
              <w:right w:color="40404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61 €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04040" w:space="0" w:sz="5" w:val="single"/>
              <w:right w:color="40404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widowControl w:val="0"/>
              <w:spacing w:after="240" w:before="24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19,5%</w:t>
            </w:r>
          </w:p>
        </w:tc>
      </w:tr>
    </w:tbl>
    <w:p w:rsidR="00000000" w:rsidDel="00000000" w:rsidP="00000000" w:rsidRDefault="00000000" w:rsidRPr="00000000" w14:paraId="00000022">
      <w:pPr>
        <w:keepNext w:val="1"/>
        <w:keepLines w:val="1"/>
        <w:widowControl w:val="0"/>
        <w:spacing w:after="240" w:before="240" w:line="240" w:lineRule="auto"/>
        <w:jc w:val="both"/>
        <w:rPr>
          <w:rFonts w:ascii="Raleway" w:cs="Raleway" w:eastAsia="Raleway" w:hAnsi="Raleway"/>
          <w:b w:val="1"/>
          <w:bCs w:val="1"/>
          <w:color w:val="404040"/>
          <w:sz w:val="17"/>
          <w:szCs w:val="17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color w:val="404040"/>
          <w:sz w:val="18"/>
          <w:szCs w:val="18"/>
          <w:rtl w:val="0"/>
        </w:rPr>
        <w:t xml:space="preserve">Fonte: Cittadinanzattiva – Osservatorio Prezzi&amp;Tariffe, marzo 2026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404040"/>
          <w:sz w:val="17"/>
          <w:szCs w:val="17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5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25"/>
        <w:gridCol w:w="4860"/>
        <w:tblGridChange w:id="0">
          <w:tblGrid>
            <w:gridCol w:w="4725"/>
            <w:gridCol w:w="486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c0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Capoluogo </w:t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c0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Perdite idriche comunali 2022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Aosta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35,5%</w:t>
            </w:r>
          </w:p>
        </w:tc>
      </w:tr>
    </w:tbl>
    <w:p w:rsidR="00000000" w:rsidDel="00000000" w:rsidP="00000000" w:rsidRDefault="00000000" w:rsidRPr="00000000" w14:paraId="00000027">
      <w:pPr>
        <w:spacing w:after="0" w:before="0" w:line="240" w:lineRule="auto"/>
        <w:jc w:val="both"/>
        <w:rPr>
          <w:rFonts w:ascii="Raleway" w:cs="Raleway" w:eastAsia="Raleway" w:hAnsi="Raleway"/>
          <w:b w:val="1"/>
          <w:bCs w:val="1"/>
          <w:color w:val="404040"/>
          <w:sz w:val="17"/>
          <w:szCs w:val="17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color w:val="404040"/>
          <w:sz w:val="18"/>
          <w:szCs w:val="18"/>
          <w:rtl w:val="0"/>
        </w:rPr>
        <w:t xml:space="preserve">Fonte: Cittadinanzattiva su dati Istat - GMA 2025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404040"/>
          <w:sz w:val="17"/>
          <w:szCs w:val="17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before="0" w:lin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404040"/>
          <w:sz w:val="17"/>
          <w:szCs w:val="17"/>
          <w:highlight w:val="yellow"/>
        </w:rPr>
        <w:drawing>
          <wp:inline distB="114300" distT="114300" distL="114300" distR="114300">
            <wp:extent cx="6119820" cy="3619500"/>
            <wp:effectExtent b="0" l="0" r="0" t="0"/>
            <wp:docPr id="3506348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361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40" w:lineRule="auto"/>
        <w:jc w:val="both"/>
        <w:rPr>
          <w:rFonts w:ascii="Raleway" w:cs="Raleway" w:eastAsia="Raleway" w:hAnsi="Raleway"/>
          <w:i w:val="1"/>
          <w:iCs w:val="1"/>
          <w:color w:val="404040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404040"/>
          <w:sz w:val="18"/>
          <w:szCs w:val="18"/>
          <w:rtl w:val="0"/>
        </w:rPr>
        <w:t xml:space="preserve">Fonte: Cittadinanzattiva su dati Istat - GMA 2025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404040"/>
          <w:rtl w:val="0"/>
        </w:rPr>
        <w:t xml:space="preserve">Il Rapporto, a cura dell’Osservatorio Prezzi e Tariffe di Cittadinanzattiva, </w:t>
      </w: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color w:val="404040"/>
          <w:rtl w:val="0"/>
        </w:rPr>
        <w:t xml:space="preserve">è realizzato nell’ambito del progetto “Vita da Generazione SpreK.O.”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404040"/>
          <w:rtl w:val="0"/>
        </w:rPr>
        <w:t xml:space="preserve">, finanziato dal MIMIT. D.D. 12 maggio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both"/>
        <w:rPr>
          <w:rFonts w:ascii="Raleway" w:cs="Raleway" w:eastAsia="Raleway" w:hAnsi="Raleway"/>
          <w:i w:val="1"/>
          <w:iCs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both"/>
        <w:rPr>
          <w:rFonts w:ascii="Raleway" w:cs="Raleway" w:eastAsia="Raleway" w:hAnsi="Raleway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both"/>
        <w:rPr>
          <w:rFonts w:ascii="Raleway" w:cs="Raleway" w:eastAsia="Raleway" w:hAnsi="Raleway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0"/>
          <w:szCs w:val="20"/>
          <w:rtl w:val="0"/>
        </w:rPr>
        <w:t xml:space="preserve">Cittadinanzattiva APS - Ufficio stampa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both"/>
        <w:rPr>
          <w:rFonts w:ascii="Raleway" w:cs="Raleway" w:eastAsia="Raleway" w:hAnsi="Raleway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0"/>
          <w:szCs w:val="20"/>
          <w:rtl w:val="0"/>
        </w:rPr>
        <w:t xml:space="preserve">Aurora Avenoso, responsabile: +39 3483347603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both"/>
        <w:rPr>
          <w:rFonts w:ascii="Raleway" w:cs="Raleway" w:eastAsia="Raleway" w:hAnsi="Raleway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0"/>
          <w:szCs w:val="20"/>
          <w:rtl w:val="0"/>
        </w:rPr>
        <w:t xml:space="preserve">Salvatore Zuccarello: +39 3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44 0422130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both"/>
        <w:rPr>
          <w:rFonts w:ascii="Raleway" w:cs="Raleway" w:eastAsia="Raleway" w:hAnsi="Raleway"/>
          <w:b w:val="1"/>
          <w:bCs w:val="1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stampa@cittadinanzattiva.it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both"/>
        <w:rPr>
          <w:rFonts w:ascii="Raleway" w:cs="Raleway" w:eastAsia="Raleway" w:hAnsi="Raleway"/>
          <w:color w:val="000000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www.cittadinanzattiva.it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ewsGoth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left" w:leader="none" w:pos="1644"/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bCs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76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76" w:lineRule="auto"/>
    </w:pPr>
    <w:rPr>
      <w:rFonts w:ascii="Calibri" w:cs="Calibri" w:eastAsia="Calibri" w:hAnsi="Calibri"/>
      <w:color w:val="1f386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 w:val="1"/>
    <w:pPr>
      <w:spacing w:after="120" w:line="276" w:lineRule="auto"/>
    </w:pPr>
  </w:style>
  <w:style w:type="paragraph" w:styleId="Corpodeltesto2">
    <w:name w:val="Body Text 2"/>
    <w:basedOn w:val="Normale"/>
    <w:link w:val="Corpodeltesto2Carattere"/>
    <w:uiPriority w:val="99"/>
    <w:unhideWhenUsed w:val="1"/>
    <w:pPr>
      <w:spacing w:after="120" w:line="480" w:lineRule="auto"/>
    </w:pPr>
  </w:style>
  <w:style w:type="paragraph" w:styleId="Didascalia">
    <w:name w:val="caption"/>
    <w:basedOn w:val="Normale"/>
    <w:next w:val="Normale"/>
    <w:uiPriority w:val="35"/>
    <w:unhideWhenUsed w:val="1"/>
    <w:qFormat w:val="1"/>
    <w:pPr>
      <w:spacing w:after="200" w:line="240" w:lineRule="auto"/>
    </w:pPr>
    <w:rPr>
      <w:rFonts w:asciiTheme="minorHAnsi" w:cstheme="minorBidi" w:eastAsiaTheme="minorHAnsi" w:hAnsiTheme="minorHAnsi"/>
      <w:b w:val="1"/>
      <w:bCs w:val="1"/>
      <w:color w:val="4472c4" w:themeColor="accent1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Pr>
      <w:b w:val="1"/>
      <w:bCs w:val="1"/>
    </w:rPr>
  </w:style>
  <w:style w:type="character" w:styleId="Enfasicorsivo">
    <w:name w:val="Emphasis"/>
    <w:basedOn w:val="Carpredefinitoparagrafo"/>
    <w:uiPriority w:val="20"/>
    <w:qFormat w:val="1"/>
    <w:rPr>
      <w:i w:val="1"/>
      <w:iCs w:val="1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qFormat w:val="1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 w:val="1"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 w:val="1"/>
    <w:unhideWhenUsed w:val="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 w:val="1"/>
    <w:pPr>
      <w:widowControl w:val="0"/>
      <w:autoSpaceDE w:val="0"/>
      <w:autoSpaceDN w:val="0"/>
      <w:spacing w:after="0" w:line="240" w:lineRule="auto"/>
    </w:pPr>
    <w:rPr>
      <w:sz w:val="20"/>
      <w:szCs w:val="20"/>
      <w:lang w:bidi="it-IT"/>
    </w:rPr>
  </w:style>
  <w:style w:type="paragraph" w:styleId="Intestazione">
    <w:name w:val="header"/>
    <w:basedOn w:val="Normale"/>
    <w:link w:val="IntestazioneCarattere"/>
    <w:uiPriority w:val="99"/>
    <w:unhideWhenUsed w:val="1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 w:val="1"/>
    <w:rPr>
      <w:color w:val="0000ff"/>
      <w:u w:val="single"/>
    </w:rPr>
  </w:style>
  <w:style w:type="paragraph" w:styleId="NormaleWeb">
    <w:name w:val="Normal (Web)"/>
    <w:basedOn w:val="Normale"/>
    <w:uiPriority w:val="99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 w:val="1"/>
    <w:rPr>
      <w:b w:val="1"/>
      <w:bCs w:val="1"/>
    </w:rPr>
  </w:style>
  <w:style w:type="table" w:styleId="Grigliatabella">
    <w:name w:val="Table Grid"/>
    <w:basedOn w:val="Tabellanormale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chiaro-Colore2">
    <w:name w:val="Light Shading Accent 2"/>
    <w:basedOn w:val="Tabellanormale"/>
    <w:uiPriority w:val="60"/>
    <w:semiHidden w:val="1"/>
    <w:unhideWhenUsed w:val="1"/>
    <w:qFormat w:val="1"/>
    <w:rPr>
      <w:color w:val="c45911" w:themeColor="accent2" w:themeShade="0000BF"/>
    </w:rPr>
    <w:tblPr>
      <w:tblBorders>
        <w:top w:color="ed7d31" w:space="0" w:sz="8" w:themeColor="accent2" w:val="single"/>
        <w:bottom w:color="ed7d31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8" w:themeColor="accent2" w:val="single"/>
          <w:left w:space="0" w:sz="0" w:val="nil"/>
          <w:bottom w:color="ed7d31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8" w:themeColor="accent2" w:val="single"/>
          <w:left w:space="0" w:sz="0" w:val="nil"/>
          <w:bottom w:color="ed7d31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</w:style>
  <w:style w:type="table" w:styleId="Grigliamedia3-Colore5">
    <w:name w:val="Medium Grid 3 Accent 5"/>
    <w:basedOn w:val="Tabellanormale"/>
    <w:uiPriority w:val="69"/>
    <w:qFormat w:val="1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6e6f4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5b9bd5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5b9bd5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dccea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auto" w:space="0" w:sz="8" w:val="single"/>
          <w:insideV w:color="auto" w:space="0" w:sz="8" w:val="single"/>
        </w:tcBorders>
        <w:shd w:color="auto" w:fill="adccea" w:themeFill="accent5" w:themeFillTint="00007F" w:val="clear"/>
      </w:tcPr>
    </w:tblStylePr>
  </w:style>
  <w:style w:type="table" w:styleId="TableNormal11" w:customStyle="1">
    <w:name w:val="Table Normal1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pple-tab-span" w:customStyle="1">
    <w:name w:val="apple-tab-span"/>
    <w:basedOn w:val="Carpredefinitoparagrafo"/>
    <w:qFormat w:val="1"/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Pr>
      <w:rFonts w:ascii="Calibri" w:cs="Calibri" w:eastAsia="Calibri" w:hAnsi="Calibri"/>
      <w:sz w:val="20"/>
      <w:szCs w:val="20"/>
      <w:lang w:bidi="it-IT" w:eastAsia="it-IT"/>
    </w:rPr>
  </w:style>
  <w:style w:type="paragraph" w:styleId="Paragrafoelenco">
    <w:name w:val="List Paragraph"/>
    <w:basedOn w:val="Normale"/>
    <w:uiPriority w:val="34"/>
    <w:qFormat w:val="1"/>
    <w:pPr>
      <w:spacing w:after="120" w:line="240" w:lineRule="auto"/>
      <w:ind w:left="720"/>
      <w:contextualSpacing w:val="1"/>
      <w:jc w:val="both"/>
    </w:pPr>
  </w:style>
  <w:style w:type="character" w:styleId="UnresolvedMention1" w:customStyle="1">
    <w:name w:val="Unresolved Mention1"/>
    <w:basedOn w:val="Carpredefinitoparagrafo"/>
    <w:uiPriority w:val="99"/>
    <w:semiHidden w:val="1"/>
    <w:unhideWhenUsed w:val="1"/>
    <w:qFormat w:val="1"/>
    <w:rPr>
      <w:color w:val="605e5c"/>
      <w:shd w:color="auto" w:fill="e1dfdd" w:val="clear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Pr>
      <w:rFonts w:ascii="Segoe UI" w:cs="Segoe UI" w:hAnsi="Segoe UI"/>
      <w:sz w:val="18"/>
      <w:szCs w:val="18"/>
    </w:rPr>
  </w:style>
  <w:style w:type="paragraph" w:styleId="Nessunaspaziatura">
    <w:name w:val="No Spacing"/>
    <w:link w:val="NessunaspaziaturaCarattere"/>
    <w:uiPriority w:val="1"/>
    <w:qFormat w:val="1"/>
    <w:rPr>
      <w:sz w:val="24"/>
      <w:szCs w:val="24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qFormat w:val="1"/>
    <w:rPr>
      <w:sz w:val="24"/>
      <w:szCs w:val="24"/>
    </w:r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text" w:customStyle="1">
    <w:name w:val="atext"/>
    <w:basedOn w:val="Normale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qFormat w:val="1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rPr>
      <w:rFonts w:asciiTheme="majorHAnsi" w:cstheme="majorBidi" w:eastAsiaTheme="majorEastAsia" w:hAnsiTheme="majorHAnsi"/>
      <w:color w:val="1f3864" w:themeColor="accent1" w:themeShade="000080"/>
      <w:sz w:val="24"/>
      <w:szCs w:val="24"/>
    </w:rPr>
  </w:style>
  <w:style w:type="paragraph" w:styleId="item-1472" w:customStyle="1">
    <w:name w:val="item-1472"/>
    <w:basedOn w:val="Normal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eparator" w:customStyle="1">
    <w:name w:val="separator"/>
    <w:basedOn w:val="Carpredefinitoparagrafo"/>
  </w:style>
  <w:style w:type="paragraph" w:styleId="item-824" w:customStyle="1">
    <w:name w:val="item-824"/>
    <w:basedOn w:val="Normal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tem-1469" w:customStyle="1">
    <w:name w:val="item-1469"/>
    <w:basedOn w:val="Normal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tem-1471" w:customStyle="1">
    <w:name w:val="item-1471"/>
    <w:basedOn w:val="Normal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tem-1488" w:customStyle="1">
    <w:name w:val="item-1488"/>
    <w:basedOn w:val="Normal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niziomodulo-z1" w:customStyle="1">
    <w:name w:val="Inizio modulo -z1"/>
    <w:basedOn w:val="Normale"/>
    <w:next w:val="Normale"/>
    <w:link w:val="Iniziomodulo-zCarattere"/>
    <w:uiPriority w:val="99"/>
    <w:semiHidden w:val="1"/>
    <w:unhideWhenUsed w:val="1"/>
    <w:pPr>
      <w:pBdr>
        <w:bottom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</w:rPr>
  </w:style>
  <w:style w:type="character" w:styleId="Iniziomodulo-zCarattere" w:customStyle="1">
    <w:name w:val="Inizio modulo -z Carattere"/>
    <w:basedOn w:val="Carpredefinitoparagrafo"/>
    <w:link w:val="Iniziomodulo-z1"/>
    <w:uiPriority w:val="99"/>
    <w:semiHidden w:val="1"/>
    <w:rPr>
      <w:rFonts w:ascii="Arial" w:cs="Arial" w:eastAsia="Times New Roman" w:hAnsi="Arial"/>
      <w:vanish w:val="1"/>
      <w:sz w:val="16"/>
      <w:szCs w:val="16"/>
      <w:lang w:eastAsia="it-IT"/>
    </w:rPr>
  </w:style>
  <w:style w:type="paragraph" w:styleId="Finemodulo-z1" w:customStyle="1">
    <w:name w:val="Fine modulo -z1"/>
    <w:basedOn w:val="Normale"/>
    <w:next w:val="Normale"/>
    <w:link w:val="Finemodulo-zCarattere"/>
    <w:uiPriority w:val="99"/>
    <w:semiHidden w:val="1"/>
    <w:unhideWhenUsed w:val="1"/>
    <w:pPr>
      <w:pBdr>
        <w:top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</w:rPr>
  </w:style>
  <w:style w:type="character" w:styleId="Finemodulo-zCarattere" w:customStyle="1">
    <w:name w:val="Fine modulo -z Carattere"/>
    <w:basedOn w:val="Carpredefinitoparagrafo"/>
    <w:link w:val="Finemodulo-z1"/>
    <w:uiPriority w:val="99"/>
    <w:semiHidden w:val="1"/>
    <w:rPr>
      <w:rFonts w:ascii="Arial" w:cs="Arial" w:eastAsia="Times New Roman" w:hAnsi="Arial"/>
      <w:vanish w:val="1"/>
      <w:sz w:val="16"/>
      <w:szCs w:val="16"/>
      <w:lang w:eastAsia="it-IT"/>
    </w:rPr>
  </w:style>
  <w:style w:type="character" w:styleId="IntestazioneCarattere" w:customStyle="1">
    <w:name w:val="Intestazione Carattere"/>
    <w:basedOn w:val="Carpredefinitoparagrafo"/>
    <w:link w:val="Intestazione"/>
    <w:uiPriority w:val="99"/>
  </w:style>
  <w:style w:type="character" w:styleId="PidipaginaCarattere" w:customStyle="1">
    <w:name w:val="Piè di pagina Carattere"/>
    <w:basedOn w:val="Carpredefinitoparagrafo"/>
    <w:link w:val="Pidipagina"/>
    <w:uiPriority w:val="99"/>
  </w:style>
  <w:style w:type="character" w:styleId="Corpodeltesto2Carattere" w:customStyle="1">
    <w:name w:val="Corpo del testo 2 Carattere"/>
    <w:basedOn w:val="Carpredefinitoparagrafo"/>
    <w:link w:val="Corpodeltesto2"/>
    <w:uiPriority w:val="99"/>
  </w:style>
  <w:style w:type="character" w:styleId="CorpotestoCarattere" w:customStyle="1">
    <w:name w:val="Corpo testo Carattere"/>
    <w:basedOn w:val="Carpredefinitoparagrafo"/>
    <w:link w:val="Corpotesto"/>
    <w:uiPriority w:val="99"/>
  </w:style>
  <w:style w:type="table" w:styleId="TableNormal1" w:customStyle="1">
    <w:name w:val="Table Normal1"/>
    <w:uiPriority w:val="2"/>
    <w:semiHidden w:val="1"/>
    <w:unhideWhenUsed w:val="1"/>
    <w:qFormat w:val="1"/>
    <w:pPr>
      <w:widowControl w:val="0"/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pPr>
      <w:widowControl w:val="0"/>
      <w:autoSpaceDE w:val="0"/>
      <w:autoSpaceDN w:val="0"/>
      <w:spacing w:after="0" w:before="1" w:line="223" w:lineRule="exact"/>
    </w:pPr>
  </w:style>
  <w:style w:type="paragraph" w:styleId="Revisione1" w:customStyle="1">
    <w:name w:val="Revisione1"/>
    <w:hidden w:val="1"/>
    <w:uiPriority w:val="99"/>
    <w:semiHidden w:val="1"/>
    <w:rPr>
      <w:sz w:val="22"/>
      <w:szCs w:val="22"/>
    </w:rPr>
  </w:style>
  <w:style w:type="paragraph" w:styleId="Titoliparagrafo" w:customStyle="1">
    <w:name w:val="Titoli paragrafo"/>
    <w:basedOn w:val="Normale"/>
    <w:uiPriority w:val="99"/>
    <w:pPr>
      <w:autoSpaceDE w:val="0"/>
      <w:autoSpaceDN w:val="0"/>
      <w:adjustRightInd w:val="0"/>
      <w:spacing w:after="57" w:line="260" w:lineRule="atLeast"/>
      <w:jc w:val="both"/>
      <w:textAlignment w:val="center"/>
    </w:pPr>
    <w:rPr>
      <w:rFonts w:ascii="Frutiger-Bold" w:cs="Frutiger-Bold" w:hAnsi="Frutiger-Bold"/>
      <w:b w:val="1"/>
      <w:bCs w:val="1"/>
      <w:caps w:val="1"/>
      <w:color w:val="00a500"/>
      <w:sz w:val="24"/>
      <w:szCs w:val="24"/>
    </w:rPr>
  </w:style>
  <w:style w:type="paragraph" w:styleId="Testo" w:customStyle="1">
    <w:name w:val="Testo"/>
    <w:basedOn w:val="Normale"/>
    <w:uiPriority w:val="99"/>
    <w:pPr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Frutiger-Light" w:cs="Frutiger-Light" w:hAnsi="Frutiger-Light"/>
      <w:color w:val="000000"/>
      <w:sz w:val="23"/>
      <w:szCs w:val="23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Pr>
      <w:color w:val="605e5c"/>
      <w:shd w:color="auto" w:fill="e1dfdd" w:val="clear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Pr>
      <w:b w:val="1"/>
      <w:bCs w:val="1"/>
      <w:sz w:val="20"/>
      <w:szCs w:val="20"/>
    </w:rPr>
  </w:style>
  <w:style w:type="table" w:styleId="Style63" w:customStyle="1">
    <w:name w:val="_Style 63"/>
    <w:basedOn w:val="TableNormal2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tyle64" w:customStyle="1">
    <w:name w:val="_Style 64"/>
    <w:basedOn w:val="TableNormal2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tyle65" w:customStyle="1">
    <w:name w:val="_Style 65"/>
    <w:basedOn w:val="TableNormal2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fondochiaro-Colore21" w:customStyle="1">
    <w:name w:val="Sfondo chiaro - Colore 21"/>
    <w:basedOn w:val="Tabellanormale"/>
    <w:uiPriority w:val="60"/>
    <w:qFormat w:val="1"/>
    <w:rPr>
      <w:rFonts w:asciiTheme="minorHAnsi" w:cstheme="minorBidi" w:eastAsiaTheme="minorHAnsi" w:hAnsiTheme="minorHAnsi"/>
      <w:color w:val="c45911"/>
      <w:lang w:eastAsia="en-US"/>
    </w:rPr>
    <w:tblPr>
      <w:tblBorders>
        <w:top w:color="ed7d31" w:space="0" w:sz="8" w:val="single"/>
        <w:bottom w:color="ed7d31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8" w:val="single"/>
          <w:left w:space="0" w:sz="0" w:val="nil"/>
          <w:bottom w:color="ed7d31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8" w:val="single"/>
          <w:left w:space="0" w:sz="0" w:val="nil"/>
          <w:bottom w:color="ed7d31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adecb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adecb" w:val="clear"/>
      </w:tcPr>
    </w:tblStylePr>
  </w:style>
  <w:style w:type="table" w:styleId="Grigliatabella1" w:customStyle="1">
    <w:name w:val="Griglia tabella1"/>
    <w:basedOn w:val="Tabellanormale"/>
    <w:next w:val="Grigliatabella"/>
    <w:uiPriority w:val="39"/>
    <w:rsid w:val="004D7F32"/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media3-Colore51" w:customStyle="1">
    <w:name w:val="Griglia media 3 - Colore 51"/>
    <w:basedOn w:val="Tabellanormale"/>
    <w:next w:val="Grigliamedia3-Colore5"/>
    <w:uiPriority w:val="69"/>
    <w:rsid w:val="00332935"/>
    <w:rPr>
      <w:rFonts w:cs="Times New Roman"/>
    </w:rPr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6e6f4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5b9bd5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5b9bd5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5b9bd5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b9bd5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dccea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adccea" w:val="clear"/>
      </w:tcPr>
    </w:tblStylePr>
  </w:style>
  <w:style w:type="table" w:styleId="Sfondochiaro-Colore211" w:customStyle="1">
    <w:name w:val="Sfondo chiaro - Colore 211"/>
    <w:basedOn w:val="Tabellanormale"/>
    <w:uiPriority w:val="60"/>
    <w:qFormat w:val="1"/>
    <w:rsid w:val="00332935"/>
    <w:rPr>
      <w:rFonts w:cs="Times New Roman"/>
      <w:color w:val="c45911"/>
      <w:sz w:val="22"/>
      <w:szCs w:val="22"/>
    </w:rPr>
    <w:tblPr>
      <w:tblBorders>
        <w:top w:color="ed7d31" w:space="0" w:sz="8" w:val="single"/>
        <w:bottom w:color="ed7d31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8" w:val="single"/>
          <w:left w:space="0" w:sz="0" w:val="nil"/>
          <w:bottom w:color="ed7d31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8" w:val="single"/>
          <w:left w:space="0" w:sz="0" w:val="nil"/>
          <w:bottom w:color="ed7d31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adecb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adecb" w:val="clear"/>
      </w:tcPr>
    </w:tblStylePr>
  </w:style>
  <w:style w:type="table" w:styleId="Grigliatabella2" w:customStyle="1">
    <w:name w:val="Griglia tabella2"/>
    <w:basedOn w:val="Tabellanormale"/>
    <w:next w:val="Grigliatabella"/>
    <w:uiPriority w:val="39"/>
    <w:rsid w:val="00BE1401"/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IS/gAED/0vR8qmKPb/XOIYf+A==">CgMxLjA4AHIhMUxCQ05oYlZHcFF2ZWEzaEJWbHRYV0JyZzVvX3pVY2lJ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2025-03-19T14:39:00Z</dcterms:created>
  <dc:creator>Aurora Avenoso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2022-12-22T12:12:54Z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ada01e75-869c-4ee2-9ee9-74e2e9708f2e</vt:lpwstr>
  </property>
  <property fmtid="{D5CDD505-2E9C-101B-9397-08002B2CF9AE}" pid="8" name="MSIP_Label_29db9e61-aac5-4f6e-805d-ceb8cb9983a1_ContentBits">
    <vt:lpwstr>0</vt:lpwstr>
  </property>
  <property fmtid="{D5CDD505-2E9C-101B-9397-08002B2CF9AE}" pid="9" name="KSOProductBuildVer">
    <vt:lpwstr>1033-12.2.0.23155</vt:lpwstr>
  </property>
  <property fmtid="{D5CDD505-2E9C-101B-9397-08002B2CF9AE}" pid="10" name="ICV">
    <vt:lpwstr>F6FD19BCE247464BB6463BD79DD649D6_13</vt:lpwstr>
  </property>
</Properties>
</file>