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FA" w:rsidRPr="008836FA" w:rsidRDefault="008836FA" w:rsidP="008836FA"/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Raleway" w:hAnsi="Raleway" w:cs="Arial"/>
          <w:sz w:val="20"/>
          <w:szCs w:val="20"/>
        </w:rPr>
      </w:pP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Raleway" w:hAnsi="Raleway" w:cs="Arial"/>
          <w:sz w:val="20"/>
          <w:szCs w:val="20"/>
        </w:rPr>
      </w:pP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Raleway" w:hAnsi="Raleway" w:cs="Arial"/>
          <w:sz w:val="20"/>
          <w:szCs w:val="20"/>
        </w:rPr>
      </w:pP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Raleway" w:hAnsi="Raleway" w:cs="Arial"/>
          <w:sz w:val="20"/>
          <w:szCs w:val="20"/>
        </w:rPr>
      </w:pP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Raleway" w:hAnsi="Raleway" w:cs="Arial"/>
          <w:sz w:val="20"/>
          <w:szCs w:val="20"/>
        </w:rPr>
      </w:pPr>
      <w:r>
        <w:rPr>
          <w:rStyle w:val="Enfasigrassetto"/>
          <w:rFonts w:ascii="Raleway" w:hAnsi="Raleway" w:cs="Arial"/>
          <w:sz w:val="20"/>
          <w:szCs w:val="20"/>
        </w:rPr>
        <w:t xml:space="preserve">Comunicato stampa </w:t>
      </w:r>
      <w:r>
        <w:rPr>
          <w:rStyle w:val="Enfasigrassetto"/>
          <w:rFonts w:ascii="Raleway" w:hAnsi="Raleway" w:cs="Arial"/>
          <w:sz w:val="20"/>
          <w:szCs w:val="20"/>
        </w:rPr>
        <w:tab/>
      </w:r>
      <w:r>
        <w:rPr>
          <w:rStyle w:val="Enfasigrassetto"/>
          <w:rFonts w:ascii="Raleway" w:hAnsi="Raleway" w:cs="Arial"/>
          <w:sz w:val="20"/>
          <w:szCs w:val="20"/>
        </w:rPr>
        <w:tab/>
      </w:r>
      <w:r>
        <w:rPr>
          <w:rStyle w:val="Enfasigrassetto"/>
          <w:rFonts w:ascii="Raleway" w:hAnsi="Raleway" w:cs="Arial"/>
          <w:sz w:val="20"/>
          <w:szCs w:val="20"/>
        </w:rPr>
        <w:tab/>
      </w:r>
      <w:r>
        <w:rPr>
          <w:rStyle w:val="Enfasigrassetto"/>
          <w:rFonts w:ascii="Raleway" w:hAnsi="Raleway" w:cs="Arial"/>
          <w:sz w:val="20"/>
          <w:szCs w:val="20"/>
        </w:rPr>
        <w:tab/>
      </w:r>
      <w:r>
        <w:rPr>
          <w:rStyle w:val="Enfasigrassetto"/>
          <w:rFonts w:ascii="Raleway" w:hAnsi="Raleway" w:cs="Arial"/>
          <w:sz w:val="20"/>
          <w:szCs w:val="20"/>
        </w:rPr>
        <w:tab/>
      </w:r>
      <w:r>
        <w:rPr>
          <w:rStyle w:val="Enfasigrassetto"/>
          <w:rFonts w:ascii="Raleway" w:hAnsi="Raleway" w:cs="Arial"/>
          <w:sz w:val="20"/>
          <w:szCs w:val="20"/>
        </w:rPr>
        <w:tab/>
      </w:r>
      <w:r>
        <w:rPr>
          <w:rStyle w:val="Enfasigrassetto"/>
          <w:rFonts w:ascii="Raleway" w:hAnsi="Raleway" w:cs="Arial"/>
          <w:sz w:val="20"/>
          <w:szCs w:val="20"/>
        </w:rPr>
        <w:tab/>
      </w:r>
      <w:r>
        <w:rPr>
          <w:rStyle w:val="Enfasigrassetto"/>
          <w:rFonts w:ascii="Raleway" w:hAnsi="Raleway" w:cs="Arial"/>
          <w:sz w:val="20"/>
          <w:szCs w:val="20"/>
        </w:rPr>
        <w:tab/>
        <w:t xml:space="preserve">   Roma/Aosta, 19 marzo 2024</w:t>
      </w: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  <w:rFonts w:ascii="Raleway" w:hAnsi="Raleway" w:cs="Arial"/>
          <w:sz w:val="20"/>
          <w:szCs w:val="20"/>
        </w:rPr>
      </w:pP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</w:pPr>
      <w:r>
        <w:rPr>
          <w:rStyle w:val="Enfasigrassetto"/>
          <w:rFonts w:ascii="Raleway" w:hAnsi="Raleway" w:cs="Arial"/>
          <w:sz w:val="20"/>
          <w:szCs w:val="20"/>
        </w:rPr>
        <w:t>Acqua: 273 euro la spesa media in Valle D’Aosta nel 2023.</w:t>
      </w: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  <w:rPr>
          <w:rStyle w:val="Enfasigrassetto"/>
        </w:rPr>
      </w:pPr>
      <w:r>
        <w:rPr>
          <w:rStyle w:val="Enfasigrassetto"/>
          <w:rFonts w:ascii="Raleway" w:hAnsi="Raleway" w:cs="Arial"/>
          <w:sz w:val="20"/>
          <w:szCs w:val="20"/>
        </w:rPr>
        <w:t xml:space="preserve">Dispersione idrica al 41% nel capoluogo. I nuovi dati dell’Osservatorio Prezzi e Tariffe di </w:t>
      </w:r>
      <w:proofErr w:type="spellStart"/>
      <w:r>
        <w:rPr>
          <w:rStyle w:val="Enfasigrassetto"/>
          <w:rFonts w:ascii="Raleway" w:hAnsi="Raleway" w:cs="Arial"/>
          <w:sz w:val="20"/>
          <w:szCs w:val="20"/>
        </w:rPr>
        <w:t>Cittadinanzattiva</w:t>
      </w:r>
      <w:proofErr w:type="spellEnd"/>
      <w:r>
        <w:rPr>
          <w:rStyle w:val="Enfasigrassetto"/>
          <w:rFonts w:ascii="Raleway" w:hAnsi="Raleway" w:cs="Arial"/>
          <w:sz w:val="20"/>
          <w:szCs w:val="20"/>
        </w:rPr>
        <w:t xml:space="preserve"> in occasione della Giornata mondiale dell’acqua.</w:t>
      </w: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</w:pPr>
    </w:p>
    <w:p w:rsidR="00930FE3" w:rsidRDefault="00930FE3" w:rsidP="00930FE3">
      <w:pPr>
        <w:shd w:val="clear" w:color="auto" w:fill="FFFFFF"/>
        <w:spacing w:after="0" w:line="240" w:lineRule="auto"/>
        <w:jc w:val="center"/>
        <w:rPr>
          <w:rStyle w:val="Collegamentoipertestuale"/>
          <w:rFonts w:eastAsia="Raleway" w:cs="Raleway"/>
          <w:b/>
          <w:i/>
        </w:rPr>
      </w:pPr>
      <w:r>
        <w:rPr>
          <w:rStyle w:val="Enfasigrassetto"/>
          <w:rFonts w:ascii="Raleway" w:hAnsi="Raleway" w:cs="Arial"/>
          <w:i/>
          <w:iCs/>
          <w:sz w:val="20"/>
          <w:szCs w:val="20"/>
        </w:rPr>
        <w:t>I materiali (</w:t>
      </w:r>
      <w:r>
        <w:rPr>
          <w:rStyle w:val="il"/>
          <w:rFonts w:ascii="Raleway" w:hAnsi="Raleway" w:cs="Arial"/>
          <w:i/>
          <w:iCs/>
          <w:sz w:val="20"/>
          <w:szCs w:val="20"/>
          <w:u w:val="single"/>
        </w:rPr>
        <w:t>Report</w:t>
      </w:r>
      <w:r>
        <w:rPr>
          <w:rStyle w:val="Enfasigrassetto"/>
          <w:rFonts w:ascii="Raleway" w:hAnsi="Raleway" w:cs="Arial"/>
          <w:i/>
          <w:iCs/>
          <w:sz w:val="20"/>
          <w:szCs w:val="20"/>
        </w:rPr>
        <w:t xml:space="preserve">, </w:t>
      </w:r>
      <w:proofErr w:type="spellStart"/>
      <w:r>
        <w:rPr>
          <w:rStyle w:val="Enfasigrassetto"/>
          <w:rFonts w:ascii="Raleway" w:hAnsi="Raleway" w:cs="Arial"/>
          <w:i/>
          <w:iCs/>
          <w:sz w:val="20"/>
          <w:szCs w:val="20"/>
        </w:rPr>
        <w:t>infografiche</w:t>
      </w:r>
      <w:proofErr w:type="spellEnd"/>
      <w:r>
        <w:rPr>
          <w:rStyle w:val="Enfasigrassetto"/>
          <w:rFonts w:ascii="Raleway" w:hAnsi="Raleway" w:cs="Arial"/>
          <w:i/>
          <w:iCs/>
          <w:sz w:val="20"/>
          <w:szCs w:val="20"/>
        </w:rPr>
        <w:t xml:space="preserve"> e comunicato nazionale) </w:t>
      </w:r>
      <w:r>
        <w:rPr>
          <w:rFonts w:ascii="Raleway" w:eastAsia="Raleway" w:hAnsi="Raleway" w:cs="Raleway"/>
          <w:b/>
          <w:i/>
          <w:sz w:val="20"/>
          <w:szCs w:val="20"/>
          <w:u w:val="single"/>
        </w:rPr>
        <w:t xml:space="preserve">sono disponibili in homepage sul sito </w:t>
      </w:r>
      <w:hyperlink r:id="rId7" w:history="1">
        <w:r>
          <w:rPr>
            <w:rStyle w:val="Collegamentoipertestuale"/>
            <w:rFonts w:ascii="Raleway" w:eastAsia="Raleway" w:hAnsi="Raleway" w:cs="Raleway"/>
            <w:b/>
            <w:i/>
            <w:sz w:val="20"/>
            <w:szCs w:val="20"/>
          </w:rPr>
          <w:t>www.cittadinanzattiva.it</w:t>
        </w:r>
      </w:hyperlink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930FE3" w:rsidRDefault="00930FE3" w:rsidP="00930FE3">
      <w:pPr>
        <w:pStyle w:val="NormaleWeb"/>
        <w:spacing w:before="0" w:beforeAutospacing="0" w:after="0" w:afterAutospacing="0"/>
        <w:jc w:val="both"/>
        <w:rPr>
          <w:rFonts w:ascii="Raleway" w:hAnsi="Raleway"/>
          <w:b/>
          <w:bCs/>
          <w:sz w:val="20"/>
          <w:szCs w:val="20"/>
        </w:rPr>
      </w:pPr>
    </w:p>
    <w:p w:rsidR="00930FE3" w:rsidRDefault="00930FE3" w:rsidP="00930FE3">
      <w:pPr>
        <w:pStyle w:val="NormaleWeb"/>
        <w:spacing w:before="0" w:beforeAutospacing="0" w:after="0" w:afterAutospacing="0"/>
        <w:contextualSpacing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b/>
          <w:bCs/>
          <w:sz w:val="20"/>
          <w:szCs w:val="20"/>
        </w:rPr>
        <w:t xml:space="preserve">273€: questa la cifra spesa </w:t>
      </w:r>
      <w:r>
        <w:rPr>
          <w:rFonts w:ascii="Raleway" w:hAnsi="Raleway"/>
          <w:sz w:val="20"/>
          <w:szCs w:val="20"/>
        </w:rPr>
        <w:t>per la bolletta idrica da una famiglia valdostana nel 2023 (la media nazionale è pari a 478€), invariata negli ultimi 5 anni.</w:t>
      </w:r>
    </w:p>
    <w:p w:rsidR="00930FE3" w:rsidRDefault="00930FE3" w:rsidP="00930FE3">
      <w:pPr>
        <w:pStyle w:val="NormaleWeb"/>
        <w:spacing w:before="0" w:beforeAutospacing="0" w:after="0" w:afterAutospacing="0"/>
        <w:contextualSpacing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Aumenti in più dei due terzi dei capoluoghi di provincia italiani; rispetto all’anno precedente l’incremento maggiore, di circa il 16%, si registra a Vibo Valentia, mentre ad Isernia la bolletta è praticamente raddoppiata rispetto al 2019. </w:t>
      </w:r>
      <w:r>
        <w:rPr>
          <w:rFonts w:ascii="Raleway" w:hAnsi="Raleway"/>
          <w:b/>
          <w:bCs/>
          <w:sz w:val="20"/>
          <w:szCs w:val="20"/>
        </w:rPr>
        <w:t>Frosinone</w:t>
      </w:r>
      <w:r>
        <w:rPr>
          <w:rFonts w:ascii="Raleway" w:hAnsi="Raleway"/>
          <w:sz w:val="20"/>
          <w:szCs w:val="20"/>
        </w:rPr>
        <w:t xml:space="preserve"> resta in testa alla classifica delle province più care con una spesa media annuale di 867€ mentre </w:t>
      </w:r>
      <w:r>
        <w:rPr>
          <w:rFonts w:ascii="Raleway" w:hAnsi="Raleway"/>
          <w:b/>
          <w:bCs/>
          <w:sz w:val="20"/>
          <w:szCs w:val="20"/>
        </w:rPr>
        <w:t>Milano e Cosenza</w:t>
      </w:r>
      <w:r>
        <w:rPr>
          <w:rFonts w:ascii="Raleway" w:hAnsi="Raleway"/>
          <w:sz w:val="20"/>
          <w:szCs w:val="20"/>
        </w:rPr>
        <w:t xml:space="preserve"> conquistano la palma di capoluoghi più economici con 184€. </w:t>
      </w:r>
      <w:r>
        <w:rPr>
          <w:rFonts w:ascii="Raleway" w:hAnsi="Raleway"/>
          <w:b/>
          <w:bCs/>
          <w:sz w:val="20"/>
          <w:szCs w:val="20"/>
        </w:rPr>
        <w:t xml:space="preserve">La Toscana è la regione più costosa (con 732€), </w:t>
      </w:r>
      <w:r>
        <w:rPr>
          <w:rFonts w:ascii="Raleway" w:hAnsi="Raleway"/>
          <w:sz w:val="20"/>
          <w:szCs w:val="20"/>
        </w:rPr>
        <w:t>con ben 8 suoi capoluoghi nella top ten delle province più care</w:t>
      </w:r>
      <w:r>
        <w:rPr>
          <w:rFonts w:ascii="Raleway" w:hAnsi="Raleway"/>
          <w:b/>
          <w:bCs/>
          <w:sz w:val="20"/>
          <w:szCs w:val="20"/>
        </w:rPr>
        <w:t>; il Molise la più economica (226€), in Trentino Alto Adige l’aumento più consistente (+9%).</w:t>
      </w:r>
    </w:p>
    <w:p w:rsidR="00930FE3" w:rsidRDefault="00930FE3" w:rsidP="00930FE3">
      <w:pPr>
        <w:pStyle w:val="NormaleWeb"/>
        <w:spacing w:before="0" w:beforeAutospacing="0" w:after="0" w:afterAutospacing="0"/>
        <w:contextualSpacing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La fotografia emerge dal </w:t>
      </w:r>
      <w:r>
        <w:rPr>
          <w:rFonts w:ascii="Raleway" w:hAnsi="Raleway"/>
          <w:b/>
          <w:bCs/>
          <w:sz w:val="20"/>
          <w:szCs w:val="20"/>
        </w:rPr>
        <w:t xml:space="preserve">XIX Rapporto sul servizio idrico integrato, </w:t>
      </w:r>
      <w:r>
        <w:rPr>
          <w:rFonts w:ascii="Raleway" w:hAnsi="Raleway"/>
          <w:sz w:val="20"/>
          <w:szCs w:val="20"/>
        </w:rPr>
        <w:t xml:space="preserve">a cura </w:t>
      </w:r>
      <w:r>
        <w:rPr>
          <w:rFonts w:ascii="Raleway" w:hAnsi="Raleway"/>
          <w:b/>
          <w:bCs/>
          <w:sz w:val="20"/>
          <w:szCs w:val="20"/>
        </w:rPr>
        <w:t xml:space="preserve">dell’Osservatorio prezzi e tariffe di </w:t>
      </w:r>
      <w:proofErr w:type="spellStart"/>
      <w:r>
        <w:rPr>
          <w:rFonts w:ascii="Raleway" w:hAnsi="Raleway"/>
          <w:b/>
          <w:bCs/>
          <w:sz w:val="20"/>
          <w:szCs w:val="20"/>
        </w:rPr>
        <w:t>Cittadinanzattiva</w:t>
      </w:r>
      <w:proofErr w:type="spellEnd"/>
      <w:r>
        <w:rPr>
          <w:rFonts w:ascii="Raleway" w:hAnsi="Raleway"/>
          <w:sz w:val="20"/>
          <w:szCs w:val="20"/>
        </w:rPr>
        <w:t>, che è stato presentato oggi nel corso dell’evento “Cara acqua, una risorsa da risparmiare e tutelare”.  Il Rapporto ha preso in esame le tariffe per il servizio idrico integrato applicate in tutti i capoluoghi di provincia italiani nel 2023 in riferimento ad una famiglia tipo composta da 3 persone un consumo annuo di 182 metri cubi.</w:t>
      </w:r>
      <w:r>
        <w:rPr>
          <w:rFonts w:ascii="Raleway" w:hAnsi="Raleway"/>
          <w:b/>
          <w:bCs/>
          <w:sz w:val="20"/>
          <w:szCs w:val="20"/>
        </w:rPr>
        <w:t xml:space="preserve"> </w:t>
      </w:r>
      <w:r>
        <w:rPr>
          <w:rFonts w:ascii="Raleway" w:hAnsi="Raleway"/>
          <w:sz w:val="20"/>
          <w:szCs w:val="20"/>
        </w:rPr>
        <w:t xml:space="preserve">Se ci attestassimo su un consumo di 150 </w:t>
      </w:r>
      <w:proofErr w:type="spellStart"/>
      <w:r>
        <w:rPr>
          <w:rFonts w:ascii="Raleway" w:hAnsi="Raleway"/>
          <w:sz w:val="20"/>
          <w:szCs w:val="20"/>
        </w:rPr>
        <w:t>mc</w:t>
      </w:r>
      <w:proofErr w:type="spellEnd"/>
      <w:r>
        <w:rPr>
          <w:rFonts w:ascii="Raleway" w:hAnsi="Raleway"/>
          <w:sz w:val="20"/>
          <w:szCs w:val="20"/>
        </w:rPr>
        <w:t xml:space="preserve"> l’anno invece di 182, risparmieremmo in media 101€, ossia quasi il 27%; una famiglia toscana, la più tartassata a livello nazionale, potrebbe arrivare a pagare 183€ in meno, ed anche una famiglia molisana avrebbe un risparmio di 42€. </w:t>
      </w:r>
    </w:p>
    <w:p w:rsidR="00930FE3" w:rsidRDefault="00930FE3" w:rsidP="00930FE3">
      <w:pPr>
        <w:pStyle w:val="NormaleWeb"/>
        <w:spacing w:before="0" w:beforeAutospacing="0" w:after="0" w:afterAutospacing="0"/>
        <w:contextualSpacing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Una famiglia di tre persone, con soglia ISEE fino a 9.530€ e che ha accesso al </w:t>
      </w:r>
      <w:r>
        <w:rPr>
          <w:rFonts w:ascii="Raleway" w:hAnsi="Raleway"/>
          <w:b/>
          <w:bCs/>
          <w:sz w:val="20"/>
          <w:szCs w:val="20"/>
        </w:rPr>
        <w:t>bonus sociale idrico</w:t>
      </w:r>
      <w:r>
        <w:rPr>
          <w:rFonts w:ascii="Raleway" w:hAnsi="Raleway"/>
          <w:sz w:val="20"/>
          <w:szCs w:val="20"/>
        </w:rPr>
        <w:t xml:space="preserve">, secondo le nostre rilevazioni risparmia annualmente circa 104€, ossia il </w:t>
      </w:r>
      <w:r>
        <w:rPr>
          <w:rFonts w:ascii="Raleway" w:hAnsi="Raleway"/>
          <w:b/>
          <w:bCs/>
          <w:sz w:val="20"/>
          <w:szCs w:val="20"/>
        </w:rPr>
        <w:t>22% o 27%</w:t>
      </w:r>
      <w:r>
        <w:rPr>
          <w:rFonts w:ascii="Raleway" w:hAnsi="Raleway"/>
          <w:sz w:val="20"/>
          <w:szCs w:val="20"/>
        </w:rPr>
        <w:t xml:space="preserve"> in meno a seconda che abbia un consumo annuo di 182 metri cubi o di 150 metri cubi. In Valle D’Aosta, il valore del bonus si attesta sui 67€.</w:t>
      </w:r>
    </w:p>
    <w:p w:rsidR="00930FE3" w:rsidRDefault="00930FE3" w:rsidP="00930FE3">
      <w:pPr>
        <w:pStyle w:val="NormaleWeb"/>
        <w:spacing w:before="0" w:beforeAutospacing="0" w:after="0" w:afterAutospacing="0"/>
        <w:contextualSpacing/>
        <w:jc w:val="both"/>
        <w:rPr>
          <w:rFonts w:ascii="Raleway" w:hAnsi="Raleway"/>
          <w:b/>
          <w:bCs/>
          <w:sz w:val="20"/>
          <w:szCs w:val="20"/>
        </w:rPr>
      </w:pPr>
      <w:r>
        <w:rPr>
          <w:rFonts w:ascii="Raleway" w:hAnsi="Raleway"/>
          <w:b/>
          <w:bCs/>
          <w:sz w:val="20"/>
          <w:szCs w:val="20"/>
        </w:rPr>
        <w:t>I DATI SULLA DISPERSIONE IDRICA</w:t>
      </w:r>
    </w:p>
    <w:p w:rsidR="00930FE3" w:rsidRDefault="00930FE3" w:rsidP="00930FE3">
      <w:pPr>
        <w:pStyle w:val="NormaleWeb"/>
        <w:spacing w:before="0" w:beforeAutospacing="0" w:after="0" w:afterAutospacing="0"/>
        <w:contextualSpacing/>
        <w:jc w:val="both"/>
        <w:rPr>
          <w:rFonts w:ascii="Raleway" w:hAnsi="Raleway"/>
          <w:b/>
          <w:bCs/>
          <w:sz w:val="20"/>
          <w:szCs w:val="20"/>
        </w:rPr>
      </w:pPr>
      <w:r>
        <w:rPr>
          <w:rFonts w:ascii="Raleway" w:hAnsi="Raleway"/>
          <w:sz w:val="20"/>
          <w:szCs w:val="20"/>
        </w:rPr>
        <w:t xml:space="preserve">In base agli ultimi dati Istat (anno 2020), la </w:t>
      </w:r>
      <w:r>
        <w:rPr>
          <w:rFonts w:ascii="Raleway" w:hAnsi="Raleway"/>
          <w:b/>
          <w:bCs/>
          <w:sz w:val="20"/>
          <w:szCs w:val="20"/>
        </w:rPr>
        <w:t>dispersione idrica</w:t>
      </w:r>
      <w:r>
        <w:rPr>
          <w:rFonts w:ascii="Raleway" w:hAnsi="Raleway"/>
          <w:sz w:val="20"/>
          <w:szCs w:val="20"/>
        </w:rPr>
        <w:t xml:space="preserve"> nei capoluoghi di provincia è pari in media al 36,2% e raggiunge il 42,2% come territorio complessivo italiano. In alcune aree del Paese (soprattutto Sud e Isole) si disperde più della metà dei volumi d'acqua immessi in rete. Se si analizza ulteriormente lo spaccato di alcune realtà.</w:t>
      </w:r>
    </w:p>
    <w:p w:rsidR="00930FE3" w:rsidRDefault="00930FE3" w:rsidP="00930FE3">
      <w:pPr>
        <w:pStyle w:val="Titolo2"/>
        <w:jc w:val="center"/>
        <w:rPr>
          <w:color w:val="49BED9"/>
        </w:rPr>
      </w:pPr>
    </w:p>
    <w:tbl>
      <w:tblPr>
        <w:tblStyle w:val="Grigliatabella"/>
        <w:tblW w:w="0" w:type="auto"/>
        <w:tblInd w:w="0" w:type="dxa"/>
        <w:tblBorders>
          <w:top w:val="single" w:sz="4" w:space="0" w:color="54C3E9"/>
          <w:left w:val="single" w:sz="4" w:space="0" w:color="54C3E9"/>
          <w:bottom w:val="single" w:sz="4" w:space="0" w:color="54C3E9"/>
          <w:right w:val="single" w:sz="4" w:space="0" w:color="54C3E9"/>
          <w:insideH w:val="single" w:sz="4" w:space="0" w:color="54C3E9"/>
          <w:insideV w:val="single" w:sz="4" w:space="0" w:color="54C3E9"/>
        </w:tblBorders>
        <w:tblLook w:val="04A0"/>
      </w:tblPr>
      <w:tblGrid>
        <w:gridCol w:w="1513"/>
        <w:gridCol w:w="250"/>
        <w:gridCol w:w="879"/>
        <w:gridCol w:w="885"/>
        <w:gridCol w:w="813"/>
        <w:gridCol w:w="252"/>
        <w:gridCol w:w="852"/>
        <w:gridCol w:w="916"/>
        <w:gridCol w:w="812"/>
        <w:gridCol w:w="260"/>
        <w:gridCol w:w="1275"/>
        <w:gridCol w:w="980"/>
      </w:tblGrid>
      <w:tr w:rsidR="00930FE3" w:rsidTr="00930FE3">
        <w:tc>
          <w:tcPr>
            <w:tcW w:w="1448" w:type="dxa"/>
            <w:vMerge w:val="restar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CAPOLUOGHI</w:t>
            </w:r>
          </w:p>
        </w:tc>
        <w:tc>
          <w:tcPr>
            <w:tcW w:w="250" w:type="dxa"/>
            <w:vMerge w:val="restar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0B0F0"/>
            <w:vAlign w:val="center"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2577" w:type="dxa"/>
            <w:gridSpan w:val="3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 xml:space="preserve">Ipotesi A </w:t>
            </w:r>
            <w:r>
              <w:rPr>
                <w:rFonts w:ascii="Frutiger-Light" w:hAnsi="Frutiger-Light" w:cs="Frutiger-Light"/>
                <w:b/>
                <w:i/>
                <w:color w:val="FFFFFF" w:themeColor="background1"/>
                <w:kern w:val="0"/>
                <w:sz w:val="21"/>
                <w:szCs w:val="21"/>
              </w:rPr>
              <w:t xml:space="preserve">(182 </w:t>
            </w:r>
            <w:proofErr w:type="spellStart"/>
            <w:r>
              <w:rPr>
                <w:rFonts w:ascii="Frutiger-Light" w:hAnsi="Frutiger-Light" w:cs="Frutiger-Light"/>
                <w:b/>
                <w:i/>
                <w:color w:val="FFFFFF" w:themeColor="background1"/>
                <w:kern w:val="0"/>
                <w:sz w:val="21"/>
                <w:szCs w:val="21"/>
              </w:rPr>
              <w:t>mc</w:t>
            </w:r>
            <w:proofErr w:type="spellEnd"/>
            <w:r>
              <w:rPr>
                <w:rFonts w:ascii="Frutiger-Light" w:hAnsi="Frutiger-Light" w:cs="Frutiger-Light"/>
                <w:b/>
                <w:i/>
                <w:color w:val="FFFFFF" w:themeColor="background1"/>
                <w:kern w:val="0"/>
                <w:sz w:val="21"/>
                <w:szCs w:val="21"/>
              </w:rPr>
              <w:t>)</w:t>
            </w:r>
          </w:p>
        </w:tc>
        <w:tc>
          <w:tcPr>
            <w:tcW w:w="252" w:type="dxa"/>
            <w:vMerge w:val="restar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0B0F0"/>
            <w:vAlign w:val="center"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 xml:space="preserve">Ipotesi B </w:t>
            </w:r>
            <w:r>
              <w:rPr>
                <w:rFonts w:ascii="Frutiger-Light" w:hAnsi="Frutiger-Light" w:cs="Frutiger-Light"/>
                <w:b/>
                <w:i/>
                <w:color w:val="FFFFFF" w:themeColor="background1"/>
                <w:kern w:val="0"/>
                <w:sz w:val="21"/>
                <w:szCs w:val="21"/>
              </w:rPr>
              <w:t xml:space="preserve">(150 </w:t>
            </w:r>
            <w:proofErr w:type="spellStart"/>
            <w:r>
              <w:rPr>
                <w:rFonts w:ascii="Frutiger-Light" w:hAnsi="Frutiger-Light" w:cs="Frutiger-Light"/>
                <w:b/>
                <w:i/>
                <w:color w:val="FFFFFF" w:themeColor="background1"/>
                <w:kern w:val="0"/>
                <w:sz w:val="21"/>
                <w:szCs w:val="21"/>
              </w:rPr>
              <w:t>mc</w:t>
            </w:r>
            <w:proofErr w:type="spellEnd"/>
            <w:r>
              <w:rPr>
                <w:rFonts w:ascii="Frutiger-Light" w:hAnsi="Frutiger-Light" w:cs="Frutiger-Light"/>
                <w:b/>
                <w:i/>
                <w:color w:val="FFFFFF" w:themeColor="background1"/>
                <w:kern w:val="0"/>
                <w:sz w:val="21"/>
                <w:szCs w:val="21"/>
              </w:rPr>
              <w:t>)</w:t>
            </w:r>
          </w:p>
        </w:tc>
        <w:tc>
          <w:tcPr>
            <w:tcW w:w="260" w:type="dxa"/>
            <w:vMerge w:val="restar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0B0F0"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Risparmio (A-B)</w:t>
            </w:r>
          </w:p>
        </w:tc>
      </w:tr>
      <w:tr w:rsidR="00930FE3" w:rsidTr="00930FE3">
        <w:tc>
          <w:tcPr>
            <w:tcW w:w="0" w:type="auto"/>
            <w:vMerge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vAlign w:val="center"/>
            <w:hideMark/>
          </w:tcPr>
          <w:p w:rsidR="00930FE3" w:rsidRDefault="00930FE3">
            <w:pPr>
              <w:spacing w:after="0" w:line="240" w:lineRule="auto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vAlign w:val="center"/>
            <w:hideMark/>
          </w:tcPr>
          <w:p w:rsidR="00930FE3" w:rsidRDefault="00930FE3">
            <w:pPr>
              <w:spacing w:after="0" w:line="240" w:lineRule="auto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Spesa SII 2023</w:t>
            </w:r>
          </w:p>
        </w:tc>
        <w:tc>
          <w:tcPr>
            <w:tcW w:w="885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Var. % sul 2022</w:t>
            </w:r>
          </w:p>
        </w:tc>
        <w:tc>
          <w:tcPr>
            <w:tcW w:w="813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Var. % su 2019</w:t>
            </w:r>
          </w:p>
        </w:tc>
        <w:tc>
          <w:tcPr>
            <w:tcW w:w="0" w:type="auto"/>
            <w:vMerge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vAlign w:val="center"/>
            <w:hideMark/>
          </w:tcPr>
          <w:p w:rsidR="00930FE3" w:rsidRDefault="00930FE3">
            <w:pPr>
              <w:spacing w:after="0" w:line="240" w:lineRule="auto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Spesa SII 2023</w:t>
            </w:r>
          </w:p>
        </w:tc>
        <w:tc>
          <w:tcPr>
            <w:tcW w:w="916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Var. % sul 2022</w:t>
            </w:r>
          </w:p>
        </w:tc>
        <w:tc>
          <w:tcPr>
            <w:tcW w:w="812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Var. % su 2019</w:t>
            </w:r>
          </w:p>
        </w:tc>
        <w:tc>
          <w:tcPr>
            <w:tcW w:w="0" w:type="auto"/>
            <w:vMerge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vAlign w:val="center"/>
            <w:hideMark/>
          </w:tcPr>
          <w:p w:rsidR="00930FE3" w:rsidRDefault="00930FE3">
            <w:pPr>
              <w:spacing w:after="0" w:line="240" w:lineRule="auto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In €</w:t>
            </w:r>
          </w:p>
        </w:tc>
        <w:tc>
          <w:tcPr>
            <w:tcW w:w="980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In %</w:t>
            </w:r>
          </w:p>
        </w:tc>
      </w:tr>
      <w:tr w:rsidR="00930FE3" w:rsidTr="00930FE3">
        <w:tc>
          <w:tcPr>
            <w:tcW w:w="1448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Aosta</w:t>
            </w:r>
          </w:p>
        </w:tc>
        <w:tc>
          <w:tcPr>
            <w:tcW w:w="250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0B0F0"/>
            <w:vAlign w:val="center"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273 €</w:t>
            </w:r>
          </w:p>
        </w:tc>
        <w:tc>
          <w:tcPr>
            <w:tcW w:w="885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0,0%</w:t>
            </w:r>
          </w:p>
        </w:tc>
        <w:tc>
          <w:tcPr>
            <w:tcW w:w="813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0,0%</w:t>
            </w:r>
          </w:p>
        </w:tc>
        <w:tc>
          <w:tcPr>
            <w:tcW w:w="252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0B0F0"/>
            <w:vAlign w:val="center"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218 €</w:t>
            </w:r>
          </w:p>
        </w:tc>
        <w:tc>
          <w:tcPr>
            <w:tcW w:w="916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0,0%</w:t>
            </w:r>
          </w:p>
        </w:tc>
        <w:tc>
          <w:tcPr>
            <w:tcW w:w="812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0,0%</w:t>
            </w:r>
          </w:p>
        </w:tc>
        <w:tc>
          <w:tcPr>
            <w:tcW w:w="260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0B0F0"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404040" w:themeColor="text1" w:themeTint="BF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FFFF" w:themeFill="background1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55 €</w:t>
            </w:r>
          </w:p>
        </w:tc>
        <w:tc>
          <w:tcPr>
            <w:tcW w:w="980" w:type="dxa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FFFF" w:themeFill="background1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>25,2%</w:t>
            </w:r>
          </w:p>
        </w:tc>
      </w:tr>
    </w:tbl>
    <w:p w:rsidR="00930FE3" w:rsidRDefault="00930FE3" w:rsidP="00930FE3">
      <w:pP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</w:pPr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 xml:space="preserve">Fonte: </w:t>
      </w:r>
      <w:proofErr w:type="spellStart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>Cittadinanzattiva</w:t>
      </w:r>
      <w:proofErr w:type="spellEnd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 xml:space="preserve"> – Osservatorio </w:t>
      </w:r>
      <w:proofErr w:type="spellStart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>Prezzi&amp;Tariffe</w:t>
      </w:r>
      <w:proofErr w:type="spellEnd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>, marzo 2024</w:t>
      </w:r>
    </w:p>
    <w:tbl>
      <w:tblPr>
        <w:tblStyle w:val="Grigliatabella"/>
        <w:tblW w:w="5000" w:type="pct"/>
        <w:tblInd w:w="0" w:type="dxa"/>
        <w:tblBorders>
          <w:top w:val="single" w:sz="4" w:space="0" w:color="54C3E9"/>
          <w:left w:val="single" w:sz="4" w:space="0" w:color="54C3E9"/>
          <w:bottom w:val="single" w:sz="4" w:space="0" w:color="54C3E9"/>
          <w:right w:val="single" w:sz="4" w:space="0" w:color="54C3E9"/>
          <w:insideH w:val="single" w:sz="4" w:space="0" w:color="54C3E9"/>
          <w:insideV w:val="single" w:sz="4" w:space="0" w:color="54C3E9"/>
        </w:tblBorders>
        <w:tblLook w:val="04A0"/>
      </w:tblPr>
      <w:tblGrid>
        <w:gridCol w:w="2697"/>
        <w:gridCol w:w="2387"/>
        <w:gridCol w:w="2385"/>
        <w:gridCol w:w="2385"/>
      </w:tblGrid>
      <w:tr w:rsidR="00930FE3" w:rsidTr="00930FE3">
        <w:trPr>
          <w:trHeight w:val="258"/>
        </w:trPr>
        <w:tc>
          <w:tcPr>
            <w:tcW w:w="1369" w:type="pct"/>
            <w:vMerge w:val="restar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1ACE2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Capoluogo di provincia</w:t>
            </w:r>
          </w:p>
        </w:tc>
        <w:tc>
          <w:tcPr>
            <w:tcW w:w="1211" w:type="pct"/>
            <w:vMerge w:val="restar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1ACE2"/>
            <w:vAlign w:val="center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 xml:space="preserve">Bonus idrico per nucleo 3 componenti </w:t>
            </w:r>
          </w:p>
        </w:tc>
        <w:tc>
          <w:tcPr>
            <w:tcW w:w="2420" w:type="pct"/>
            <w:gridSpan w:val="2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1ACE2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Incidenza del bonus (3 componenti) su spesa per</w:t>
            </w:r>
          </w:p>
        </w:tc>
      </w:tr>
      <w:tr w:rsidR="00930FE3" w:rsidTr="00930FE3">
        <w:trPr>
          <w:trHeight w:val="258"/>
        </w:trPr>
        <w:tc>
          <w:tcPr>
            <w:tcW w:w="0" w:type="auto"/>
            <w:vMerge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vAlign w:val="center"/>
            <w:hideMark/>
          </w:tcPr>
          <w:p w:rsidR="00930FE3" w:rsidRDefault="00930FE3">
            <w:pPr>
              <w:spacing w:after="0" w:line="240" w:lineRule="auto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vAlign w:val="center"/>
            <w:hideMark/>
          </w:tcPr>
          <w:p w:rsidR="00930FE3" w:rsidRDefault="00930FE3">
            <w:pPr>
              <w:spacing w:after="0" w:line="240" w:lineRule="auto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</w:p>
        </w:tc>
        <w:tc>
          <w:tcPr>
            <w:tcW w:w="1210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1ACE2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 xml:space="preserve">182 </w:t>
            </w:r>
            <w:proofErr w:type="spellStart"/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mc</w:t>
            </w:r>
            <w:proofErr w:type="spellEnd"/>
          </w:p>
        </w:tc>
        <w:tc>
          <w:tcPr>
            <w:tcW w:w="1210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01ACE2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 xml:space="preserve">150 </w:t>
            </w:r>
            <w:proofErr w:type="spellStart"/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mc</w:t>
            </w:r>
            <w:proofErr w:type="spellEnd"/>
          </w:p>
        </w:tc>
      </w:tr>
      <w:tr w:rsidR="00930FE3" w:rsidTr="00930FE3">
        <w:tc>
          <w:tcPr>
            <w:tcW w:w="1369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t xml:space="preserve">Aosta </w:t>
            </w:r>
          </w:p>
        </w:tc>
        <w:tc>
          <w:tcPr>
            <w:tcW w:w="1211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FFFF" w:themeFill="background1"/>
            <w:vAlign w:val="bottom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  <w:t>67 €</w:t>
            </w:r>
          </w:p>
        </w:tc>
        <w:tc>
          <w:tcPr>
            <w:tcW w:w="1210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FFFF" w:themeFill="background1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  <w:t>24,5%</w:t>
            </w:r>
          </w:p>
        </w:tc>
        <w:tc>
          <w:tcPr>
            <w:tcW w:w="1210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FFFF" w:themeFill="background1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  <w:t>30,7%</w:t>
            </w:r>
          </w:p>
        </w:tc>
      </w:tr>
    </w:tbl>
    <w:p w:rsidR="00930FE3" w:rsidRDefault="00930FE3" w:rsidP="00930FE3">
      <w:pP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</w:pPr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 xml:space="preserve">Fonte: </w:t>
      </w:r>
      <w:proofErr w:type="spellStart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>Cittadinanzattiva</w:t>
      </w:r>
      <w:proofErr w:type="spellEnd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 xml:space="preserve"> – Osservatorio </w:t>
      </w:r>
      <w:proofErr w:type="spellStart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>Prezzi&amp;Tariffe</w:t>
      </w:r>
      <w:proofErr w:type="spellEnd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>, marzo 2024</w:t>
      </w:r>
    </w:p>
    <w:tbl>
      <w:tblPr>
        <w:tblStyle w:val="Grigliatabella"/>
        <w:tblW w:w="5000" w:type="pct"/>
        <w:tblInd w:w="0" w:type="dxa"/>
        <w:tblBorders>
          <w:top w:val="single" w:sz="4" w:space="0" w:color="54C3E9"/>
          <w:left w:val="single" w:sz="4" w:space="0" w:color="54C3E9"/>
          <w:bottom w:val="single" w:sz="4" w:space="0" w:color="54C3E9"/>
          <w:right w:val="single" w:sz="4" w:space="0" w:color="54C3E9"/>
          <w:insideH w:val="single" w:sz="4" w:space="0" w:color="54C3E9"/>
          <w:insideV w:val="single" w:sz="4" w:space="0" w:color="54C3E9"/>
        </w:tblBorders>
        <w:tblLook w:val="04A0"/>
      </w:tblPr>
      <w:tblGrid>
        <w:gridCol w:w="3009"/>
        <w:gridCol w:w="3664"/>
        <w:gridCol w:w="3181"/>
      </w:tblGrid>
      <w:tr w:rsidR="00930FE3" w:rsidTr="00930FE3">
        <w:tc>
          <w:tcPr>
            <w:tcW w:w="1527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Capoluogo di provincia</w:t>
            </w:r>
          </w:p>
        </w:tc>
        <w:tc>
          <w:tcPr>
            <w:tcW w:w="1859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Perdite idriche comunali 2020</w:t>
            </w:r>
          </w:p>
        </w:tc>
        <w:tc>
          <w:tcPr>
            <w:tcW w:w="1614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shd w:val="clear" w:color="auto" w:fill="FFC000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b/>
                <w:color w:val="FFFFFF" w:themeColor="background1"/>
                <w:kern w:val="0"/>
                <w:sz w:val="21"/>
                <w:szCs w:val="21"/>
              </w:rPr>
              <w:t>Perdite idriche provinciali 2020</w:t>
            </w:r>
          </w:p>
        </w:tc>
      </w:tr>
      <w:tr w:rsidR="00930FE3" w:rsidTr="00930FE3">
        <w:tc>
          <w:tcPr>
            <w:tcW w:w="1527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vAlign w:val="bottom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0"/>
                <w:szCs w:val="20"/>
              </w:rPr>
              <w:lastRenderedPageBreak/>
              <w:t>Aosta</w:t>
            </w:r>
          </w:p>
        </w:tc>
        <w:tc>
          <w:tcPr>
            <w:tcW w:w="1859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vAlign w:val="bottom"/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  <w:t>41,3%</w:t>
            </w:r>
          </w:p>
        </w:tc>
        <w:tc>
          <w:tcPr>
            <w:tcW w:w="1614" w:type="pct"/>
            <w:tcBorders>
              <w:top w:val="single" w:sz="4" w:space="0" w:color="54C3E9"/>
              <w:left w:val="single" w:sz="4" w:space="0" w:color="54C3E9"/>
              <w:bottom w:val="single" w:sz="4" w:space="0" w:color="54C3E9"/>
              <w:right w:val="single" w:sz="4" w:space="0" w:color="54C3E9"/>
            </w:tcBorders>
            <w:hideMark/>
          </w:tcPr>
          <w:p w:rsidR="00930FE3" w:rsidRDefault="00930FE3">
            <w:pPr>
              <w:spacing w:after="0" w:line="240" w:lineRule="auto"/>
              <w:jc w:val="center"/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</w:pPr>
            <w:r>
              <w:rPr>
                <w:rFonts w:ascii="Frutiger-Light" w:hAnsi="Frutiger-Light" w:cs="Frutiger-Light"/>
                <w:color w:val="404040" w:themeColor="text1" w:themeTint="BF"/>
                <w:kern w:val="0"/>
                <w:sz w:val="21"/>
                <w:szCs w:val="21"/>
              </w:rPr>
              <w:t>23,9%</w:t>
            </w:r>
          </w:p>
        </w:tc>
      </w:tr>
    </w:tbl>
    <w:p w:rsidR="00930FE3" w:rsidRDefault="00930FE3" w:rsidP="00930FE3">
      <w:pP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</w:pPr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 xml:space="preserve">Fonte: </w:t>
      </w:r>
      <w:proofErr w:type="spellStart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>Cittadinanzattiva</w:t>
      </w:r>
      <w:proofErr w:type="spellEnd"/>
      <w:r>
        <w:rPr>
          <w:rFonts w:ascii="Frutiger-Light" w:hAnsi="Frutiger-Light" w:cs="Frutiger-Light"/>
          <w:i/>
          <w:color w:val="404040" w:themeColor="text1" w:themeTint="BF"/>
          <w:sz w:val="18"/>
          <w:szCs w:val="18"/>
        </w:rPr>
        <w:t xml:space="preserve"> su dati Istat, marzo 2024</w:t>
      </w:r>
    </w:p>
    <w:p w:rsidR="00930FE3" w:rsidRDefault="00930FE3" w:rsidP="00930FE3">
      <w:pPr>
        <w:jc w:val="both"/>
        <w:rPr>
          <w:rFonts w:ascii="Raleway" w:hAnsi="Raleway" w:cs="Frutiger-Light"/>
          <w:i/>
          <w:color w:val="404040" w:themeColor="text1" w:themeTint="BF"/>
          <w:sz w:val="20"/>
          <w:szCs w:val="20"/>
        </w:rPr>
      </w:pPr>
    </w:p>
    <w:p w:rsidR="00930FE3" w:rsidRDefault="00930FE3" w:rsidP="00930FE3">
      <w:pPr>
        <w:spacing w:after="0" w:line="240" w:lineRule="auto"/>
        <w:jc w:val="both"/>
        <w:rPr>
          <w:rFonts w:ascii="Raleway" w:eastAsia="Times New Roman" w:hAnsi="Raleway" w:cs="Times New Roman"/>
          <w:kern w:val="0"/>
          <w:sz w:val="20"/>
          <w:szCs w:val="20"/>
          <w:lang w:eastAsia="it-IT"/>
        </w:rPr>
      </w:pP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>Consumi e sprechi, le abitudini degli italiani</w:t>
      </w:r>
    </w:p>
    <w:p w:rsidR="00930FE3" w:rsidRDefault="00930FE3" w:rsidP="00930FE3">
      <w:pPr>
        <w:spacing w:after="0" w:line="240" w:lineRule="auto"/>
        <w:jc w:val="both"/>
        <w:rPr>
          <w:rFonts w:ascii="Raleway" w:eastAsia="Times New Roman" w:hAnsi="Raleway" w:cs="Times New Roman"/>
          <w:kern w:val="0"/>
          <w:sz w:val="20"/>
          <w:szCs w:val="20"/>
          <w:lang w:eastAsia="it-IT"/>
        </w:rPr>
      </w:pP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 xml:space="preserve">Nel corso dell’evento sono stati presentati anche i dati di una 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>consultazione che ha interessato 3355 cittadini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 xml:space="preserve"> su conoscenza, percezioni e comportamenti di consumo dell’acqua.</w:t>
      </w:r>
    </w:p>
    <w:p w:rsidR="00930FE3" w:rsidRDefault="00930FE3" w:rsidP="00930FE3">
      <w:pPr>
        <w:spacing w:after="0" w:line="240" w:lineRule="auto"/>
        <w:jc w:val="both"/>
        <w:rPr>
          <w:rFonts w:ascii="Raleway" w:eastAsia="Times New Roman" w:hAnsi="Raleway" w:cs="Times New Roman"/>
          <w:kern w:val="0"/>
          <w:sz w:val="20"/>
          <w:szCs w:val="20"/>
          <w:lang w:eastAsia="it-IT"/>
        </w:rPr>
      </w:pP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>Ne emerge che i cittadini sono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 xml:space="preserve"> poco consapevoli del proprio livello di consumo, 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>visto che dichiarano di usare quotidianamente 62 litri di acqua, molto al di sotto del consumo medio ad abitante indicato da Istat in circa 215 litri al giorno.</w:t>
      </w:r>
    </w:p>
    <w:p w:rsidR="00930FE3" w:rsidRDefault="00930FE3" w:rsidP="00930FE3">
      <w:pPr>
        <w:spacing w:after="0" w:line="240" w:lineRule="auto"/>
        <w:jc w:val="both"/>
        <w:rPr>
          <w:rFonts w:ascii="Raleway" w:eastAsia="Times New Roman" w:hAnsi="Raleway" w:cs="Times New Roman"/>
          <w:kern w:val="0"/>
          <w:sz w:val="20"/>
          <w:szCs w:val="20"/>
          <w:lang w:eastAsia="it-IT"/>
        </w:rPr>
      </w:pP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 xml:space="preserve">Quasi uno su tre non conosce il proprio 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 xml:space="preserve">fornitore del servizio idrico 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>e oltre il 37% ritiene la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 xml:space="preserve"> bolletta troppo alta. 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>Il 43% non conosce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 xml:space="preserve"> il bonus sociale 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>e il 62% quello integrativo messo eventualmente a disposizione dal proprio comune di residenza. Inoltre, quasi l’80% vorrebbe ricevere informazioni circa l’impronta idrica dei prodotti che acquista, al fine di poter compiere scelte più responsabili. </w:t>
      </w:r>
    </w:p>
    <w:p w:rsidR="00930FE3" w:rsidRDefault="00930FE3" w:rsidP="00930FE3">
      <w:pPr>
        <w:spacing w:after="0" w:line="240" w:lineRule="auto"/>
        <w:jc w:val="both"/>
        <w:rPr>
          <w:rFonts w:ascii="Raleway" w:eastAsia="Times New Roman" w:hAnsi="Raleway" w:cs="Times New Roman"/>
          <w:kern w:val="0"/>
          <w:sz w:val="20"/>
          <w:szCs w:val="20"/>
          <w:lang w:eastAsia="it-IT"/>
        </w:rPr>
      </w:pP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 xml:space="preserve">Emerge che oltre il 90% si dichiara attento a non sprecare acqua, e lo fa essenzialmente preferendo la doccia al bagno, e utilizzando gli elettrodomestici a pieno carico. Circa la metà dei cittadini intervistati non beve regolarmente acqua di rubinetto e, sebbene la metà dichiari di avere a disposizione nel proprio Comune le cosiddette 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>Case dell’acqua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>, quasi il 40% afferma di non aver mai fatto rifornimento presso le stesse. </w:t>
      </w:r>
    </w:p>
    <w:p w:rsidR="00930FE3" w:rsidRDefault="00930FE3" w:rsidP="00930FE3">
      <w:pPr>
        <w:jc w:val="both"/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</w:pP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 xml:space="preserve">Un cittadino su due ritiene insufficienti le informazioni a disposizione sulla 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>qualità dell’acqua di rubinetto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 xml:space="preserve"> e nella stessa percentuale vorrebbe riceverne di più puntuali al riguardo attraverso la bolletta. Per chi acquista prevalentemente quella 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>in bottiglia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 xml:space="preserve">, la </w:t>
      </w:r>
      <w:r>
        <w:rPr>
          <w:rFonts w:ascii="Raleway" w:eastAsia="Times New Roman" w:hAnsi="Raleway" w:cs="Times New Roman"/>
          <w:b/>
          <w:bCs/>
          <w:color w:val="000000"/>
          <w:kern w:val="0"/>
          <w:sz w:val="20"/>
          <w:szCs w:val="20"/>
          <w:lang w:eastAsia="it-IT"/>
        </w:rPr>
        <w:t>spesa media mensile è fra i 20-25 euro a famiglia</w:t>
      </w:r>
      <w:r>
        <w:rPr>
          <w:rFonts w:ascii="Raleway" w:eastAsia="Times New Roman" w:hAnsi="Raleway" w:cs="Times New Roman"/>
          <w:color w:val="000000"/>
          <w:kern w:val="0"/>
          <w:sz w:val="20"/>
          <w:szCs w:val="20"/>
          <w:lang w:eastAsia="it-IT"/>
        </w:rPr>
        <w:t>. Il 45% ritiene più sicura e controllata l’acqua in bottiglia, percentuale che sale al 57% nel Sud e nelle Isole, dove tra l’altro uno su quattro dichiara che nel proprio comune sono state emesse ordinanze di non potabilità.</w:t>
      </w:r>
    </w:p>
    <w:p w:rsidR="00930FE3" w:rsidRDefault="00930FE3" w:rsidP="00930FE3">
      <w:pPr>
        <w:pStyle w:val="NormaleWeb"/>
        <w:spacing w:before="0" w:beforeAutospacing="0" w:after="0" w:afterAutospacing="0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i/>
          <w:iCs/>
          <w:color w:val="404040"/>
          <w:sz w:val="20"/>
          <w:szCs w:val="20"/>
        </w:rPr>
        <w:t xml:space="preserve">L’attività è realizzata nell’ambito del progetto </w:t>
      </w:r>
      <w:hyperlink r:id="rId8" w:history="1">
        <w:proofErr w:type="spellStart"/>
        <w:r>
          <w:rPr>
            <w:rStyle w:val="Collegamentoipertestuale"/>
            <w:rFonts w:ascii="Raleway" w:hAnsi="Raleway"/>
            <w:i/>
            <w:iCs/>
            <w:sz w:val="20"/>
            <w:szCs w:val="20"/>
          </w:rPr>
          <w:t>Blue</w:t>
        </w:r>
        <w:proofErr w:type="spellEnd"/>
        <w:r>
          <w:rPr>
            <w:rStyle w:val="Collegamentoipertestuale"/>
            <w:rFonts w:ascii="Raleway" w:hAnsi="Raleway"/>
            <w:i/>
            <w:iCs/>
            <w:sz w:val="20"/>
            <w:szCs w:val="20"/>
          </w:rPr>
          <w:t xml:space="preserve"> </w:t>
        </w:r>
        <w:proofErr w:type="spellStart"/>
        <w:r>
          <w:rPr>
            <w:rStyle w:val="Collegamentoipertestuale"/>
            <w:rFonts w:ascii="Raleway" w:hAnsi="Raleway"/>
            <w:i/>
            <w:iCs/>
            <w:sz w:val="20"/>
            <w:szCs w:val="20"/>
          </w:rPr>
          <w:t>communities</w:t>
        </w:r>
        <w:proofErr w:type="spellEnd"/>
        <w:r>
          <w:rPr>
            <w:rStyle w:val="Collegamentoipertestuale"/>
            <w:rFonts w:ascii="Raleway" w:hAnsi="Raleway"/>
            <w:i/>
            <w:iCs/>
            <w:sz w:val="20"/>
            <w:szCs w:val="20"/>
          </w:rPr>
          <w:t>, giovani promotori di comunità a difesa dell’acqua</w:t>
        </w:r>
      </w:hyperlink>
      <w:r>
        <w:rPr>
          <w:rFonts w:ascii="Raleway" w:hAnsi="Raleway"/>
          <w:i/>
          <w:iCs/>
          <w:color w:val="404040"/>
          <w:sz w:val="20"/>
          <w:szCs w:val="20"/>
        </w:rPr>
        <w:t>, finanziato dall’Agenzia Italiana per la Cooperazione allo Sviluppo (AICS) con codice AID 012618/04/1.</w:t>
      </w:r>
    </w:p>
    <w:p w:rsidR="00930FE3" w:rsidRDefault="00930FE3" w:rsidP="00930FE3">
      <w:pPr>
        <w:pStyle w:val="NormaleWeb"/>
        <w:spacing w:before="0" w:beforeAutospacing="0" w:after="0" w:afterAutospacing="0"/>
        <w:jc w:val="both"/>
        <w:rPr>
          <w:rFonts w:ascii="Raleway" w:hAnsi="Raleway"/>
          <w:i/>
          <w:iCs/>
          <w:color w:val="363635"/>
          <w:sz w:val="20"/>
          <w:szCs w:val="20"/>
        </w:rPr>
      </w:pPr>
      <w:r>
        <w:rPr>
          <w:rFonts w:ascii="Raleway" w:hAnsi="Raleway"/>
          <w:i/>
          <w:iCs/>
          <w:color w:val="000000"/>
          <w:sz w:val="20"/>
          <w:szCs w:val="20"/>
        </w:rPr>
        <w:t xml:space="preserve">Per informazioni e segnalazioni su bollette idriche, conguagli, scarsa qualità dell’acqua o disservizi nella fornitura del servizio, </w:t>
      </w:r>
      <w:proofErr w:type="spellStart"/>
      <w:r>
        <w:rPr>
          <w:rFonts w:ascii="Raleway" w:hAnsi="Raleway"/>
          <w:i/>
          <w:iCs/>
          <w:color w:val="000000"/>
          <w:sz w:val="20"/>
          <w:szCs w:val="20"/>
        </w:rPr>
        <w:t>Cittadinanzattiva</w:t>
      </w:r>
      <w:proofErr w:type="spellEnd"/>
      <w:r>
        <w:rPr>
          <w:rFonts w:ascii="Raleway" w:hAnsi="Raleway"/>
          <w:i/>
          <w:iCs/>
          <w:color w:val="000000"/>
          <w:sz w:val="20"/>
          <w:szCs w:val="20"/>
        </w:rPr>
        <w:t xml:space="preserve"> mette a disposizione dei cittadini </w:t>
      </w:r>
      <w:r>
        <w:rPr>
          <w:rFonts w:ascii="Raleway" w:hAnsi="Raleway"/>
          <w:b/>
          <w:bCs/>
          <w:i/>
          <w:iCs/>
          <w:color w:val="000000"/>
          <w:sz w:val="20"/>
          <w:szCs w:val="20"/>
        </w:rPr>
        <w:t>il numero di telefono 0636718040</w:t>
      </w:r>
      <w:r>
        <w:rPr>
          <w:rFonts w:ascii="Raleway" w:hAnsi="Raleway"/>
          <w:i/>
          <w:iCs/>
          <w:color w:val="000000"/>
          <w:sz w:val="20"/>
          <w:szCs w:val="20"/>
        </w:rPr>
        <w:t xml:space="preserve">, attivo lunedì, mercoledì e venerdì dalle 14 alle 17; attivo anche </w:t>
      </w:r>
      <w:proofErr w:type="spellStart"/>
      <w:r>
        <w:rPr>
          <w:rFonts w:ascii="Raleway" w:hAnsi="Raleway"/>
          <w:i/>
          <w:iCs/>
          <w:color w:val="363635"/>
          <w:sz w:val="20"/>
          <w:szCs w:val="20"/>
        </w:rPr>
        <w:t>S.U.S.I.</w:t>
      </w:r>
      <w:proofErr w:type="spellEnd"/>
      <w:r>
        <w:rPr>
          <w:rFonts w:ascii="Raleway" w:hAnsi="Raleway"/>
          <w:i/>
          <w:iCs/>
          <w:color w:val="363635"/>
          <w:sz w:val="20"/>
          <w:szCs w:val="20"/>
        </w:rPr>
        <w:t> </w:t>
      </w:r>
      <w:r>
        <w:rPr>
          <w:rFonts w:ascii="Raleway" w:hAnsi="Raleway"/>
          <w:b/>
          <w:bCs/>
          <w:i/>
          <w:iCs/>
          <w:color w:val="363635"/>
          <w:sz w:val="20"/>
          <w:szCs w:val="20"/>
        </w:rPr>
        <w:t>- Sistema Unico di Supporto Intelligente -</w:t>
      </w:r>
      <w:r>
        <w:rPr>
          <w:rFonts w:ascii="Raleway" w:hAnsi="Raleway"/>
          <w:i/>
          <w:iCs/>
          <w:color w:val="363635"/>
          <w:sz w:val="20"/>
          <w:szCs w:val="20"/>
        </w:rPr>
        <w:t xml:space="preserve"> disponibile sulla homepage </w:t>
      </w:r>
      <w:hyperlink r:id="rId9" w:history="1">
        <w:r>
          <w:rPr>
            <w:rStyle w:val="Collegamentoipertestuale"/>
            <w:rFonts w:ascii="Raleway" w:hAnsi="Raleway"/>
            <w:i/>
            <w:iCs/>
            <w:sz w:val="20"/>
            <w:szCs w:val="20"/>
          </w:rPr>
          <w:t>www.cittadinanzattiva.it</w:t>
        </w:r>
      </w:hyperlink>
      <w:r>
        <w:rPr>
          <w:rFonts w:ascii="Raleway" w:hAnsi="Raleway"/>
          <w:i/>
          <w:iCs/>
          <w:color w:val="363635"/>
          <w:sz w:val="20"/>
          <w:szCs w:val="20"/>
        </w:rPr>
        <w:t>.</w:t>
      </w:r>
    </w:p>
    <w:p w:rsidR="00930FE3" w:rsidRDefault="00930FE3" w:rsidP="00930FE3">
      <w:pPr>
        <w:pStyle w:val="NormaleWeb"/>
        <w:spacing w:before="0" w:beforeAutospacing="0" w:after="0" w:afterAutospacing="0"/>
        <w:jc w:val="both"/>
        <w:rPr>
          <w:rFonts w:ascii="Raleway" w:hAnsi="Raleway"/>
          <w:i/>
          <w:iCs/>
          <w:color w:val="363635"/>
          <w:sz w:val="20"/>
          <w:szCs w:val="20"/>
        </w:rPr>
      </w:pP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aleway" w:hAnsi="Raleway"/>
          <w:i/>
          <w:iCs/>
          <w:sz w:val="20"/>
          <w:szCs w:val="20"/>
        </w:rPr>
      </w:pP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aleway" w:hAnsi="Raleway"/>
          <w:sz w:val="20"/>
          <w:szCs w:val="20"/>
        </w:rPr>
      </w:pP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aleway" w:hAnsi="Raleway"/>
          <w:sz w:val="20"/>
          <w:szCs w:val="20"/>
        </w:rPr>
      </w:pPr>
      <w:proofErr w:type="spellStart"/>
      <w:r>
        <w:rPr>
          <w:rFonts w:ascii="Raleway" w:hAnsi="Raleway"/>
          <w:b/>
          <w:bCs/>
          <w:color w:val="000000"/>
          <w:sz w:val="20"/>
          <w:szCs w:val="20"/>
        </w:rPr>
        <w:t>Cittadinanzattiva</w:t>
      </w:r>
      <w:proofErr w:type="spellEnd"/>
      <w:r>
        <w:rPr>
          <w:rFonts w:ascii="Raleway" w:hAnsi="Raleway"/>
          <w:b/>
          <w:bCs/>
          <w:color w:val="000000"/>
          <w:sz w:val="20"/>
          <w:szCs w:val="20"/>
        </w:rPr>
        <w:t xml:space="preserve"> APS - Ufficio stampa</w:t>
      </w: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b/>
          <w:bCs/>
          <w:color w:val="000000"/>
          <w:sz w:val="20"/>
          <w:szCs w:val="20"/>
        </w:rPr>
        <w:t xml:space="preserve">Aurora </w:t>
      </w:r>
      <w:proofErr w:type="spellStart"/>
      <w:r>
        <w:rPr>
          <w:rFonts w:ascii="Raleway" w:hAnsi="Raleway"/>
          <w:b/>
          <w:bCs/>
          <w:color w:val="000000"/>
          <w:sz w:val="20"/>
          <w:szCs w:val="20"/>
        </w:rPr>
        <w:t>Avenoso</w:t>
      </w:r>
      <w:proofErr w:type="spellEnd"/>
      <w:r>
        <w:rPr>
          <w:rFonts w:ascii="Raleway" w:hAnsi="Raleway"/>
          <w:b/>
          <w:bCs/>
          <w:color w:val="000000"/>
          <w:sz w:val="20"/>
          <w:szCs w:val="20"/>
        </w:rPr>
        <w:t>, responsabile: +39 3483347603</w:t>
      </w: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b/>
          <w:bCs/>
          <w:color w:val="000000"/>
          <w:sz w:val="20"/>
          <w:szCs w:val="20"/>
        </w:rPr>
        <w:t xml:space="preserve">Salvatore </w:t>
      </w:r>
      <w:proofErr w:type="spellStart"/>
      <w:r>
        <w:rPr>
          <w:rFonts w:ascii="Raleway" w:hAnsi="Raleway"/>
          <w:b/>
          <w:bCs/>
          <w:color w:val="000000"/>
          <w:sz w:val="20"/>
          <w:szCs w:val="20"/>
        </w:rPr>
        <w:t>Zuccarello</w:t>
      </w:r>
      <w:proofErr w:type="spellEnd"/>
      <w:r>
        <w:rPr>
          <w:rFonts w:ascii="Raleway" w:hAnsi="Raleway"/>
          <w:b/>
          <w:bCs/>
          <w:color w:val="000000"/>
          <w:sz w:val="20"/>
          <w:szCs w:val="20"/>
        </w:rPr>
        <w:t xml:space="preserve">: +39 </w:t>
      </w:r>
      <w:r>
        <w:rPr>
          <w:rFonts w:ascii="Raleway" w:eastAsia="Raleway" w:hAnsi="Raleway" w:cs="Raleway"/>
          <w:b/>
          <w:color w:val="000000"/>
          <w:sz w:val="20"/>
          <w:szCs w:val="20"/>
        </w:rPr>
        <w:t>3440422130</w:t>
      </w: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b/>
          <w:bCs/>
          <w:color w:val="000000"/>
          <w:sz w:val="20"/>
          <w:szCs w:val="20"/>
        </w:rPr>
        <w:t>stampa@cittadinanzattiva.it</w:t>
      </w:r>
    </w:p>
    <w:p w:rsidR="00930FE3" w:rsidRDefault="00930FE3" w:rsidP="00930FE3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Raleway" w:hAnsi="Raleway"/>
          <w:sz w:val="20"/>
          <w:szCs w:val="20"/>
        </w:rPr>
      </w:pPr>
      <w:r>
        <w:rPr>
          <w:rFonts w:ascii="Raleway" w:hAnsi="Raleway"/>
          <w:b/>
          <w:bCs/>
          <w:color w:val="000000"/>
          <w:sz w:val="20"/>
          <w:szCs w:val="20"/>
        </w:rPr>
        <w:t>www.cittadinanzattiva.it</w:t>
      </w:r>
    </w:p>
    <w:p w:rsidR="002D288A" w:rsidRPr="000E105D" w:rsidRDefault="002D288A" w:rsidP="0041031D"/>
    <w:sectPr w:rsidR="002D288A" w:rsidRPr="000E105D" w:rsidSect="008950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261" w:rsidRDefault="008F4261" w:rsidP="00EE1120">
      <w:pPr>
        <w:spacing w:after="0" w:line="240" w:lineRule="auto"/>
      </w:pPr>
      <w:r>
        <w:separator/>
      </w:r>
    </w:p>
  </w:endnote>
  <w:endnote w:type="continuationSeparator" w:id="0">
    <w:p w:rsidR="008F4261" w:rsidRDefault="008F4261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Condensed-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261" w:rsidRDefault="008F4261" w:rsidP="00EE1120">
      <w:pPr>
        <w:spacing w:after="0" w:line="240" w:lineRule="auto"/>
      </w:pPr>
      <w:r>
        <w:separator/>
      </w:r>
    </w:p>
  </w:footnote>
  <w:footnote w:type="continuationSeparator" w:id="0">
    <w:p w:rsidR="008F4261" w:rsidRDefault="008F4261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E105D"/>
    <w:rsid w:val="00154735"/>
    <w:rsid w:val="00154F38"/>
    <w:rsid w:val="0019529C"/>
    <w:rsid w:val="001F6D01"/>
    <w:rsid w:val="002131A7"/>
    <w:rsid w:val="00227EA3"/>
    <w:rsid w:val="00283726"/>
    <w:rsid w:val="002D288A"/>
    <w:rsid w:val="0030761A"/>
    <w:rsid w:val="003547E4"/>
    <w:rsid w:val="003749B9"/>
    <w:rsid w:val="003A449A"/>
    <w:rsid w:val="003B2FC6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C1F8C"/>
    <w:rsid w:val="0051498B"/>
    <w:rsid w:val="00564529"/>
    <w:rsid w:val="00576328"/>
    <w:rsid w:val="00592D4B"/>
    <w:rsid w:val="005B64A0"/>
    <w:rsid w:val="005C4C84"/>
    <w:rsid w:val="005D4078"/>
    <w:rsid w:val="006078DE"/>
    <w:rsid w:val="0061625E"/>
    <w:rsid w:val="00630C37"/>
    <w:rsid w:val="00651E33"/>
    <w:rsid w:val="006640AE"/>
    <w:rsid w:val="006E19AC"/>
    <w:rsid w:val="00701EF0"/>
    <w:rsid w:val="00710622"/>
    <w:rsid w:val="0071254E"/>
    <w:rsid w:val="007C701D"/>
    <w:rsid w:val="007D508A"/>
    <w:rsid w:val="00815ED7"/>
    <w:rsid w:val="00853781"/>
    <w:rsid w:val="008836FA"/>
    <w:rsid w:val="00895034"/>
    <w:rsid w:val="008E05B4"/>
    <w:rsid w:val="008E141C"/>
    <w:rsid w:val="008F4261"/>
    <w:rsid w:val="00930FE3"/>
    <w:rsid w:val="00940C28"/>
    <w:rsid w:val="00950BBA"/>
    <w:rsid w:val="00952F8E"/>
    <w:rsid w:val="00956FB3"/>
    <w:rsid w:val="009A2DF6"/>
    <w:rsid w:val="009A49BB"/>
    <w:rsid w:val="009A6D9F"/>
    <w:rsid w:val="00A26B59"/>
    <w:rsid w:val="00A32BDF"/>
    <w:rsid w:val="00A44C6D"/>
    <w:rsid w:val="00A7207A"/>
    <w:rsid w:val="00B54358"/>
    <w:rsid w:val="00B54995"/>
    <w:rsid w:val="00B56E57"/>
    <w:rsid w:val="00C27A77"/>
    <w:rsid w:val="00C5415F"/>
    <w:rsid w:val="00CC69E1"/>
    <w:rsid w:val="00D31D19"/>
    <w:rsid w:val="00DA477F"/>
    <w:rsid w:val="00DF3FE8"/>
    <w:rsid w:val="00DF77C1"/>
    <w:rsid w:val="00E065CA"/>
    <w:rsid w:val="00E10783"/>
    <w:rsid w:val="00E3295A"/>
    <w:rsid w:val="00E3764D"/>
    <w:rsid w:val="00E72F34"/>
    <w:rsid w:val="00EA2317"/>
    <w:rsid w:val="00EB3DC0"/>
    <w:rsid w:val="00ED764A"/>
    <w:rsid w:val="00EE1120"/>
    <w:rsid w:val="00EF40CC"/>
    <w:rsid w:val="00F756CB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FE3"/>
    <w:pPr>
      <w:spacing w:after="160" w:line="256" w:lineRule="auto"/>
    </w:pPr>
    <w:rPr>
      <w:kern w:val="2"/>
    </w:rPr>
  </w:style>
  <w:style w:type="paragraph" w:styleId="Titolo2">
    <w:name w:val="heading 2"/>
    <w:basedOn w:val="Normale"/>
    <w:link w:val="Titolo2Carattere"/>
    <w:uiPriority w:val="99"/>
    <w:semiHidden/>
    <w:unhideWhenUsed/>
    <w:qFormat/>
    <w:rsid w:val="00930FE3"/>
    <w:pPr>
      <w:suppressAutoHyphens/>
      <w:autoSpaceDE w:val="0"/>
      <w:autoSpaceDN w:val="0"/>
      <w:adjustRightInd w:val="0"/>
      <w:spacing w:after="0" w:line="440" w:lineRule="atLeast"/>
      <w:outlineLvl w:val="1"/>
    </w:pPr>
    <w:rPr>
      <w:rFonts w:ascii="GothamCondensed-Bold" w:hAnsi="GothamCondensed-Bold" w:cs="GothamCondensed-Bold"/>
      <w:b/>
      <w:bCs/>
      <w:caps/>
      <w:color w:val="00A500"/>
      <w:kern w:val="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  <w:rPr>
      <w:kern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  <w:rPr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kern w:val="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30FE3"/>
    <w:rPr>
      <w:rFonts w:ascii="GothamCondensed-Bold" w:hAnsi="GothamCondensed-Bold" w:cs="GothamCondensed-Bold"/>
      <w:b/>
      <w:bCs/>
      <w:caps/>
      <w:color w:val="00A500"/>
      <w:sz w:val="44"/>
      <w:szCs w:val="44"/>
    </w:rPr>
  </w:style>
  <w:style w:type="paragraph" w:styleId="NormaleWeb">
    <w:name w:val="Normal (Web)"/>
    <w:basedOn w:val="Normale"/>
    <w:uiPriority w:val="99"/>
    <w:semiHidden/>
    <w:unhideWhenUsed/>
    <w:rsid w:val="00930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il">
    <w:name w:val="il"/>
    <w:basedOn w:val="Carpredefinitoparagrafo"/>
    <w:rsid w:val="00930FE3"/>
  </w:style>
  <w:style w:type="table" w:styleId="Grigliatabella">
    <w:name w:val="Table Grid"/>
    <w:basedOn w:val="Tabellanormale"/>
    <w:uiPriority w:val="39"/>
    <w:rsid w:val="00930FE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930F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tadinanzattiva.it/progetti/15664-blue-communities-giovani-promotori-di-comunita-a-difesa-dellacqua.html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ittadinanzattiva.i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ttadinanzattiva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5</cp:revision>
  <cp:lastPrinted>2017-12-14T13:22:00Z</cp:lastPrinted>
  <dcterms:created xsi:type="dcterms:W3CDTF">2021-03-16T17:18:00Z</dcterms:created>
  <dcterms:modified xsi:type="dcterms:W3CDTF">2024-03-19T09:02:00Z</dcterms:modified>
</cp:coreProperties>
</file>